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31FF" w:rsidRDefault="006431FF" w:rsidP="00D35B2C">
      <w:pPr>
        <w:rPr>
          <w:b/>
          <w:bCs/>
        </w:rPr>
      </w:pPr>
    </w:p>
    <w:p w:rsidR="006431FF" w:rsidRPr="00677516" w:rsidRDefault="00677516" w:rsidP="00677516">
      <w:pPr>
        <w:ind w:left="7080"/>
        <w:rPr>
          <w:bCs/>
          <w:i/>
        </w:rPr>
      </w:pPr>
      <w:r w:rsidRPr="00677516">
        <w:rPr>
          <w:bCs/>
          <w:i/>
        </w:rPr>
        <w:t>Приложение №3</w:t>
      </w:r>
    </w:p>
    <w:p w:rsidR="006431FF" w:rsidRPr="006431FF" w:rsidRDefault="006431FF" w:rsidP="006431FF">
      <w:pPr>
        <w:jc w:val="center"/>
        <w:rPr>
          <w:rFonts w:ascii="Times New Roman" w:hAnsi="Times New Roman" w:cs="Times New Roman"/>
          <w:b/>
          <w:bCs/>
          <w:sz w:val="24"/>
          <w:szCs w:val="24"/>
        </w:rPr>
      </w:pPr>
      <w:r w:rsidRPr="006431FF">
        <w:rPr>
          <w:rFonts w:ascii="Times New Roman" w:hAnsi="Times New Roman" w:cs="Times New Roman"/>
          <w:b/>
          <w:bCs/>
          <w:sz w:val="24"/>
          <w:szCs w:val="24"/>
        </w:rPr>
        <w:t>МЕТОДИКА ЗА ОЦЕНКА</w:t>
      </w:r>
    </w:p>
    <w:p w:rsidR="006431FF" w:rsidRPr="006431FF" w:rsidRDefault="006431FF" w:rsidP="00D35B2C">
      <w:pPr>
        <w:rPr>
          <w:rFonts w:ascii="Times New Roman" w:hAnsi="Times New Roman" w:cs="Times New Roman"/>
          <w:b/>
          <w:bCs/>
          <w:sz w:val="24"/>
          <w:szCs w:val="24"/>
        </w:rPr>
      </w:pPr>
    </w:p>
    <w:p w:rsidR="00D35B2C" w:rsidRPr="006431FF" w:rsidRDefault="00D35B2C" w:rsidP="006431FF">
      <w:pPr>
        <w:jc w:val="center"/>
        <w:rPr>
          <w:rFonts w:ascii="Times New Roman" w:hAnsi="Times New Roman" w:cs="Times New Roman"/>
          <w:b/>
          <w:bCs/>
          <w:sz w:val="24"/>
          <w:szCs w:val="24"/>
        </w:rPr>
      </w:pPr>
      <w:r w:rsidRPr="006431FF">
        <w:rPr>
          <w:rFonts w:ascii="Times New Roman" w:hAnsi="Times New Roman" w:cs="Times New Roman"/>
          <w:b/>
          <w:bCs/>
          <w:sz w:val="24"/>
          <w:szCs w:val="24"/>
        </w:rPr>
        <w:t>КРИТЕРИЙ ЗА ОЦЕНКА НА ОФЕРТИТЕ И ПОКАЗАТЕЛИ ЗА ОЦЕНЯВАНЕ</w:t>
      </w:r>
    </w:p>
    <w:p w:rsidR="00D35B2C" w:rsidRPr="006431FF" w:rsidRDefault="00D35B2C" w:rsidP="006431FF">
      <w:pPr>
        <w:jc w:val="center"/>
        <w:rPr>
          <w:rFonts w:ascii="Times New Roman" w:hAnsi="Times New Roman" w:cs="Times New Roman"/>
          <w:b/>
          <w:bCs/>
          <w:sz w:val="24"/>
          <w:szCs w:val="24"/>
          <w:lang w:val="en-GB"/>
        </w:rPr>
      </w:pPr>
    </w:p>
    <w:p w:rsidR="00D35B2C" w:rsidRPr="006431FF" w:rsidRDefault="00D35B2C" w:rsidP="006D5324">
      <w:pPr>
        <w:jc w:val="both"/>
        <w:rPr>
          <w:rFonts w:ascii="Times New Roman" w:hAnsi="Times New Roman" w:cs="Times New Roman"/>
          <w:sz w:val="24"/>
          <w:szCs w:val="24"/>
        </w:rPr>
      </w:pPr>
      <w:r w:rsidRPr="006431FF">
        <w:rPr>
          <w:rFonts w:ascii="Times New Roman" w:hAnsi="Times New Roman" w:cs="Times New Roman"/>
          <w:sz w:val="24"/>
          <w:szCs w:val="24"/>
        </w:rPr>
        <w:tab/>
        <w:t xml:space="preserve">До оценяване се допускат само предложенията, които съответстват на </w:t>
      </w:r>
      <w:r w:rsidR="006D5324">
        <w:rPr>
          <w:rFonts w:ascii="Times New Roman" w:hAnsi="Times New Roman" w:cs="Times New Roman"/>
          <w:sz w:val="24"/>
          <w:szCs w:val="24"/>
        </w:rPr>
        <w:t>и</w:t>
      </w:r>
      <w:r w:rsidRPr="006431FF">
        <w:rPr>
          <w:rFonts w:ascii="Times New Roman" w:hAnsi="Times New Roman" w:cs="Times New Roman"/>
          <w:sz w:val="24"/>
          <w:szCs w:val="24"/>
        </w:rPr>
        <w:t>зисквания и Документацията за участие на Възложителя. Оценяването се извършва на базата на критерии „икономически най- изгодна оферта”, при следните показатели:</w:t>
      </w:r>
    </w:p>
    <w:p w:rsidR="00D35B2C" w:rsidRPr="006431FF" w:rsidRDefault="00D35B2C" w:rsidP="00D35B2C">
      <w:pPr>
        <w:rPr>
          <w:rFonts w:ascii="Times New Roman" w:hAnsi="Times New Roman" w:cs="Times New Roman"/>
          <w:b/>
          <w:sz w:val="24"/>
          <w:szCs w:val="24"/>
          <w:lang w:val="en-AU"/>
        </w:rPr>
      </w:pPr>
    </w:p>
    <w:p w:rsidR="00D35B2C" w:rsidRPr="006431FF" w:rsidRDefault="00D35B2C" w:rsidP="00D35B2C">
      <w:pPr>
        <w:rPr>
          <w:rFonts w:ascii="Times New Roman" w:hAnsi="Times New Roman" w:cs="Times New Roman"/>
          <w:b/>
          <w:sz w:val="24"/>
          <w:szCs w:val="24"/>
          <w:u w:val="single"/>
          <w:lang w:val="en-AU"/>
        </w:rPr>
      </w:pPr>
      <w:r w:rsidRPr="006431FF">
        <w:rPr>
          <w:rFonts w:ascii="Times New Roman" w:hAnsi="Times New Roman" w:cs="Times New Roman"/>
          <w:b/>
          <w:sz w:val="24"/>
          <w:szCs w:val="24"/>
          <w:u w:val="single"/>
          <w:lang w:val="en-AU"/>
        </w:rPr>
        <w:t xml:space="preserve">1. </w:t>
      </w:r>
      <w:proofErr w:type="spellStart"/>
      <w:r w:rsidRPr="006431FF">
        <w:rPr>
          <w:rFonts w:ascii="Times New Roman" w:hAnsi="Times New Roman" w:cs="Times New Roman"/>
          <w:b/>
          <w:sz w:val="24"/>
          <w:szCs w:val="24"/>
          <w:u w:val="single"/>
          <w:lang w:val="en-AU"/>
        </w:rPr>
        <w:t>Показатели</w:t>
      </w:r>
      <w:proofErr w:type="spellEnd"/>
      <w:r w:rsidRPr="006431FF">
        <w:rPr>
          <w:rFonts w:ascii="Times New Roman" w:hAnsi="Times New Roman" w:cs="Times New Roman"/>
          <w:b/>
          <w:sz w:val="24"/>
          <w:szCs w:val="24"/>
          <w:u w:val="single"/>
          <w:lang w:val="en-AU"/>
        </w:rPr>
        <w:t xml:space="preserve"> </w:t>
      </w:r>
      <w:proofErr w:type="spellStart"/>
      <w:r w:rsidRPr="006431FF">
        <w:rPr>
          <w:rFonts w:ascii="Times New Roman" w:hAnsi="Times New Roman" w:cs="Times New Roman"/>
          <w:b/>
          <w:sz w:val="24"/>
          <w:szCs w:val="24"/>
          <w:u w:val="single"/>
          <w:lang w:val="en-AU"/>
        </w:rPr>
        <w:t>за</w:t>
      </w:r>
      <w:proofErr w:type="spellEnd"/>
      <w:r w:rsidRPr="006431FF">
        <w:rPr>
          <w:rFonts w:ascii="Times New Roman" w:hAnsi="Times New Roman" w:cs="Times New Roman"/>
          <w:b/>
          <w:sz w:val="24"/>
          <w:szCs w:val="24"/>
          <w:u w:val="single"/>
          <w:lang w:val="en-AU"/>
        </w:rPr>
        <w:t xml:space="preserve"> </w:t>
      </w:r>
      <w:proofErr w:type="spellStart"/>
      <w:r w:rsidRPr="006431FF">
        <w:rPr>
          <w:rFonts w:ascii="Times New Roman" w:hAnsi="Times New Roman" w:cs="Times New Roman"/>
          <w:b/>
          <w:sz w:val="24"/>
          <w:szCs w:val="24"/>
          <w:u w:val="single"/>
          <w:lang w:val="en-AU"/>
        </w:rPr>
        <w:t>оценка</w:t>
      </w:r>
      <w:proofErr w:type="spellEnd"/>
      <w:r w:rsidRPr="006431FF">
        <w:rPr>
          <w:rFonts w:ascii="Times New Roman" w:hAnsi="Times New Roman" w:cs="Times New Roman"/>
          <w:b/>
          <w:sz w:val="24"/>
          <w:szCs w:val="24"/>
          <w:u w:val="single"/>
          <w:lang w:val="en-AU"/>
        </w:rPr>
        <w:t xml:space="preserve"> </w:t>
      </w:r>
      <w:proofErr w:type="spellStart"/>
      <w:r w:rsidRPr="006431FF">
        <w:rPr>
          <w:rFonts w:ascii="Times New Roman" w:hAnsi="Times New Roman" w:cs="Times New Roman"/>
          <w:b/>
          <w:sz w:val="24"/>
          <w:szCs w:val="24"/>
          <w:u w:val="single"/>
          <w:lang w:val="en-AU"/>
        </w:rPr>
        <w:t>на</w:t>
      </w:r>
      <w:proofErr w:type="spellEnd"/>
      <w:r w:rsidRPr="006431FF">
        <w:rPr>
          <w:rFonts w:ascii="Times New Roman" w:hAnsi="Times New Roman" w:cs="Times New Roman"/>
          <w:b/>
          <w:sz w:val="24"/>
          <w:szCs w:val="24"/>
          <w:u w:val="single"/>
          <w:lang w:val="en-AU"/>
        </w:rPr>
        <w:t xml:space="preserve"> </w:t>
      </w:r>
      <w:proofErr w:type="spellStart"/>
      <w:r w:rsidRPr="006431FF">
        <w:rPr>
          <w:rFonts w:ascii="Times New Roman" w:hAnsi="Times New Roman" w:cs="Times New Roman"/>
          <w:b/>
          <w:sz w:val="24"/>
          <w:szCs w:val="24"/>
          <w:u w:val="single"/>
          <w:lang w:val="en-AU"/>
        </w:rPr>
        <w:t>офертите</w:t>
      </w:r>
      <w:proofErr w:type="spellEnd"/>
    </w:p>
    <w:tbl>
      <w:tblPr>
        <w:tblW w:w="8787" w:type="dxa"/>
        <w:tblInd w:w="535" w:type="dxa"/>
        <w:tblLayout w:type="fixed"/>
        <w:tblLook w:val="0000" w:firstRow="0" w:lastRow="0" w:firstColumn="0" w:lastColumn="0" w:noHBand="0" w:noVBand="0"/>
      </w:tblPr>
      <w:tblGrid>
        <w:gridCol w:w="559"/>
        <w:gridCol w:w="6114"/>
        <w:gridCol w:w="2114"/>
      </w:tblGrid>
      <w:tr w:rsidR="00D35B2C" w:rsidRPr="006431FF" w:rsidTr="00A876EB">
        <w:tc>
          <w:tcPr>
            <w:tcW w:w="559" w:type="dxa"/>
            <w:tcBorders>
              <w:top w:val="single" w:sz="4" w:space="0" w:color="000000"/>
              <w:left w:val="single" w:sz="4" w:space="0" w:color="000000"/>
              <w:bottom w:val="single" w:sz="4" w:space="0" w:color="000000"/>
            </w:tcBorders>
            <w:shd w:val="clear" w:color="auto" w:fill="8DB3E2"/>
          </w:tcPr>
          <w:p w:rsidR="00D35B2C" w:rsidRPr="006431FF" w:rsidRDefault="00D35B2C" w:rsidP="00D35B2C">
            <w:pPr>
              <w:rPr>
                <w:rFonts w:ascii="Times New Roman" w:hAnsi="Times New Roman" w:cs="Times New Roman"/>
                <w:b/>
                <w:sz w:val="24"/>
                <w:szCs w:val="24"/>
                <w:lang w:val="en-AU"/>
              </w:rPr>
            </w:pPr>
            <w:r w:rsidRPr="006431FF">
              <w:rPr>
                <w:rFonts w:ascii="Times New Roman" w:hAnsi="Times New Roman" w:cs="Times New Roman"/>
                <w:b/>
                <w:sz w:val="24"/>
                <w:szCs w:val="24"/>
                <w:lang w:val="en-AU"/>
              </w:rPr>
              <w:t>№</w:t>
            </w:r>
          </w:p>
        </w:tc>
        <w:tc>
          <w:tcPr>
            <w:tcW w:w="6114" w:type="dxa"/>
            <w:tcBorders>
              <w:top w:val="single" w:sz="4" w:space="0" w:color="000000"/>
              <w:left w:val="single" w:sz="4" w:space="0" w:color="000000"/>
              <w:bottom w:val="single" w:sz="4" w:space="0" w:color="000000"/>
            </w:tcBorders>
            <w:shd w:val="clear" w:color="auto" w:fill="8DB3E2"/>
          </w:tcPr>
          <w:p w:rsidR="00D35B2C" w:rsidRPr="006431FF" w:rsidRDefault="00D35B2C" w:rsidP="00D35B2C">
            <w:pPr>
              <w:rPr>
                <w:rFonts w:ascii="Times New Roman" w:hAnsi="Times New Roman" w:cs="Times New Roman"/>
                <w:b/>
                <w:sz w:val="24"/>
                <w:szCs w:val="24"/>
                <w:lang w:val="en-AU"/>
              </w:rPr>
            </w:pPr>
            <w:proofErr w:type="spellStart"/>
            <w:r w:rsidRPr="006431FF">
              <w:rPr>
                <w:rFonts w:ascii="Times New Roman" w:hAnsi="Times New Roman" w:cs="Times New Roman"/>
                <w:b/>
                <w:sz w:val="24"/>
                <w:szCs w:val="24"/>
                <w:lang w:val="en-AU"/>
              </w:rPr>
              <w:t>Показател</w:t>
            </w:r>
            <w:proofErr w:type="spellEnd"/>
          </w:p>
        </w:tc>
        <w:tc>
          <w:tcPr>
            <w:tcW w:w="2114" w:type="dxa"/>
            <w:tcBorders>
              <w:top w:val="single" w:sz="4" w:space="0" w:color="000000"/>
              <w:left w:val="single" w:sz="4" w:space="0" w:color="000000"/>
              <w:bottom w:val="single" w:sz="4" w:space="0" w:color="000000"/>
              <w:right w:val="single" w:sz="4" w:space="0" w:color="000000"/>
            </w:tcBorders>
            <w:shd w:val="clear" w:color="auto" w:fill="8DB3E2"/>
          </w:tcPr>
          <w:p w:rsidR="00D35B2C" w:rsidRPr="006431FF" w:rsidRDefault="00D35B2C" w:rsidP="00D35B2C">
            <w:pPr>
              <w:rPr>
                <w:rFonts w:ascii="Times New Roman" w:hAnsi="Times New Roman" w:cs="Times New Roman"/>
                <w:b/>
                <w:sz w:val="24"/>
                <w:szCs w:val="24"/>
                <w:lang w:val="en-AU"/>
              </w:rPr>
            </w:pPr>
            <w:proofErr w:type="spellStart"/>
            <w:r w:rsidRPr="006431FF">
              <w:rPr>
                <w:rFonts w:ascii="Times New Roman" w:hAnsi="Times New Roman" w:cs="Times New Roman"/>
                <w:b/>
                <w:sz w:val="24"/>
                <w:szCs w:val="24"/>
                <w:lang w:val="en-AU"/>
              </w:rPr>
              <w:t>Тежест</w:t>
            </w:r>
            <w:proofErr w:type="spellEnd"/>
            <w:r w:rsidRPr="006431FF">
              <w:rPr>
                <w:rFonts w:ascii="Times New Roman" w:hAnsi="Times New Roman" w:cs="Times New Roman"/>
                <w:b/>
                <w:sz w:val="24"/>
                <w:szCs w:val="24"/>
                <w:lang w:val="en-AU"/>
              </w:rPr>
              <w:t xml:space="preserve"> в КО</w:t>
            </w:r>
          </w:p>
        </w:tc>
      </w:tr>
      <w:tr w:rsidR="00D35B2C" w:rsidRPr="006431FF" w:rsidTr="00A876EB">
        <w:tc>
          <w:tcPr>
            <w:tcW w:w="559" w:type="dxa"/>
            <w:tcBorders>
              <w:top w:val="single" w:sz="4" w:space="0" w:color="000000"/>
              <w:left w:val="single" w:sz="4" w:space="0" w:color="000000"/>
              <w:bottom w:val="single" w:sz="4" w:space="0" w:color="000000"/>
            </w:tcBorders>
            <w:shd w:val="clear" w:color="auto" w:fill="FFFF99"/>
          </w:tcPr>
          <w:p w:rsidR="00D35B2C" w:rsidRPr="006431FF" w:rsidRDefault="006431FF" w:rsidP="006431FF">
            <w:pPr>
              <w:rPr>
                <w:rFonts w:ascii="Times New Roman" w:hAnsi="Times New Roman" w:cs="Times New Roman"/>
                <w:b/>
                <w:sz w:val="24"/>
                <w:szCs w:val="24"/>
                <w:lang w:val="en-AU"/>
              </w:rPr>
            </w:pPr>
            <w:r w:rsidRPr="006431FF">
              <w:rPr>
                <w:rFonts w:ascii="Times New Roman" w:hAnsi="Times New Roman" w:cs="Times New Roman"/>
                <w:b/>
                <w:sz w:val="24"/>
                <w:szCs w:val="24"/>
              </w:rPr>
              <w:t>П1</w:t>
            </w:r>
          </w:p>
        </w:tc>
        <w:tc>
          <w:tcPr>
            <w:tcW w:w="6114" w:type="dxa"/>
            <w:tcBorders>
              <w:top w:val="single" w:sz="4" w:space="0" w:color="000000"/>
              <w:left w:val="single" w:sz="4" w:space="0" w:color="000000"/>
              <w:bottom w:val="single" w:sz="4" w:space="0" w:color="000000"/>
            </w:tcBorders>
            <w:shd w:val="clear" w:color="auto" w:fill="FFFF99"/>
          </w:tcPr>
          <w:p w:rsidR="00D35B2C" w:rsidRPr="006431FF" w:rsidRDefault="006431FF" w:rsidP="006431FF">
            <w:pPr>
              <w:rPr>
                <w:rFonts w:ascii="Times New Roman" w:hAnsi="Times New Roman" w:cs="Times New Roman"/>
                <w:b/>
                <w:sz w:val="24"/>
                <w:szCs w:val="24"/>
                <w:lang w:val="en-AU"/>
              </w:rPr>
            </w:pPr>
            <w:r w:rsidRPr="006431FF">
              <w:rPr>
                <w:rFonts w:ascii="Times New Roman" w:hAnsi="Times New Roman" w:cs="Times New Roman"/>
                <w:b/>
                <w:sz w:val="24"/>
                <w:szCs w:val="24"/>
              </w:rPr>
              <w:t>Обща п</w:t>
            </w:r>
            <w:proofErr w:type="spellStart"/>
            <w:r w:rsidR="00D35B2C" w:rsidRPr="006431FF">
              <w:rPr>
                <w:rFonts w:ascii="Times New Roman" w:hAnsi="Times New Roman" w:cs="Times New Roman"/>
                <w:b/>
                <w:sz w:val="24"/>
                <w:szCs w:val="24"/>
                <w:lang w:val="en-AU"/>
              </w:rPr>
              <w:t>редлагана</w:t>
            </w:r>
            <w:proofErr w:type="spellEnd"/>
            <w:r w:rsidR="00D35B2C" w:rsidRPr="006431FF">
              <w:rPr>
                <w:rFonts w:ascii="Times New Roman" w:hAnsi="Times New Roman" w:cs="Times New Roman"/>
                <w:b/>
                <w:sz w:val="24"/>
                <w:szCs w:val="24"/>
                <w:lang w:val="en-AU"/>
              </w:rPr>
              <w:t xml:space="preserve"> </w:t>
            </w:r>
            <w:proofErr w:type="spellStart"/>
            <w:r w:rsidR="00D35B2C" w:rsidRPr="006431FF">
              <w:rPr>
                <w:rFonts w:ascii="Times New Roman" w:hAnsi="Times New Roman" w:cs="Times New Roman"/>
                <w:b/>
                <w:sz w:val="24"/>
                <w:szCs w:val="24"/>
                <w:lang w:val="en-AU"/>
              </w:rPr>
              <w:t>цена</w:t>
            </w:r>
            <w:proofErr w:type="spellEnd"/>
          </w:p>
        </w:tc>
        <w:tc>
          <w:tcPr>
            <w:tcW w:w="2114" w:type="dxa"/>
            <w:tcBorders>
              <w:top w:val="single" w:sz="4" w:space="0" w:color="000000"/>
              <w:left w:val="single" w:sz="4" w:space="0" w:color="000000"/>
              <w:bottom w:val="single" w:sz="4" w:space="0" w:color="000000"/>
              <w:right w:val="single" w:sz="4" w:space="0" w:color="000000"/>
            </w:tcBorders>
            <w:shd w:val="clear" w:color="auto" w:fill="FFFF99"/>
          </w:tcPr>
          <w:p w:rsidR="00D35B2C" w:rsidRPr="006431FF" w:rsidRDefault="00BA0435" w:rsidP="006431FF">
            <w:pPr>
              <w:rPr>
                <w:rFonts w:ascii="Times New Roman" w:hAnsi="Times New Roman" w:cs="Times New Roman"/>
                <w:b/>
                <w:sz w:val="24"/>
                <w:szCs w:val="24"/>
                <w:lang w:val="en-AU"/>
              </w:rPr>
            </w:pPr>
            <w:r>
              <w:rPr>
                <w:rFonts w:ascii="Times New Roman" w:hAnsi="Times New Roman" w:cs="Times New Roman"/>
                <w:b/>
                <w:sz w:val="24"/>
                <w:szCs w:val="24"/>
                <w:lang w:val="en-US"/>
              </w:rPr>
              <w:t>6</w:t>
            </w:r>
            <w:r w:rsidR="006431FF" w:rsidRPr="006431FF">
              <w:rPr>
                <w:rFonts w:ascii="Times New Roman" w:hAnsi="Times New Roman" w:cs="Times New Roman"/>
                <w:b/>
                <w:sz w:val="24"/>
                <w:szCs w:val="24"/>
              </w:rPr>
              <w:t>0</w:t>
            </w:r>
            <w:r w:rsidR="00D35B2C" w:rsidRPr="006431FF">
              <w:rPr>
                <w:rFonts w:ascii="Times New Roman" w:hAnsi="Times New Roman" w:cs="Times New Roman"/>
                <w:b/>
                <w:sz w:val="24"/>
                <w:szCs w:val="24"/>
                <w:lang w:val="en-AU"/>
              </w:rPr>
              <w:t xml:space="preserve"> %</w:t>
            </w:r>
          </w:p>
        </w:tc>
      </w:tr>
      <w:tr w:rsidR="00D35B2C" w:rsidRPr="006431FF" w:rsidTr="00A876EB">
        <w:tc>
          <w:tcPr>
            <w:tcW w:w="559" w:type="dxa"/>
            <w:tcBorders>
              <w:top w:val="single" w:sz="4" w:space="0" w:color="000000"/>
              <w:left w:val="single" w:sz="4" w:space="0" w:color="000000"/>
              <w:bottom w:val="single" w:sz="4" w:space="0" w:color="000000"/>
            </w:tcBorders>
            <w:shd w:val="clear" w:color="auto" w:fill="FFFF99"/>
          </w:tcPr>
          <w:p w:rsidR="00D35B2C" w:rsidRPr="006431FF" w:rsidRDefault="006431FF" w:rsidP="006431FF">
            <w:pPr>
              <w:rPr>
                <w:rFonts w:ascii="Times New Roman" w:hAnsi="Times New Roman" w:cs="Times New Roman"/>
                <w:b/>
                <w:sz w:val="24"/>
                <w:szCs w:val="24"/>
                <w:lang w:val="en-AU"/>
              </w:rPr>
            </w:pPr>
            <w:r w:rsidRPr="006431FF">
              <w:rPr>
                <w:rFonts w:ascii="Times New Roman" w:hAnsi="Times New Roman" w:cs="Times New Roman"/>
                <w:b/>
                <w:sz w:val="24"/>
                <w:szCs w:val="24"/>
              </w:rPr>
              <w:t>П2</w:t>
            </w:r>
          </w:p>
        </w:tc>
        <w:tc>
          <w:tcPr>
            <w:tcW w:w="6114" w:type="dxa"/>
            <w:tcBorders>
              <w:top w:val="single" w:sz="4" w:space="0" w:color="000000"/>
              <w:left w:val="single" w:sz="4" w:space="0" w:color="000000"/>
              <w:bottom w:val="single" w:sz="4" w:space="0" w:color="000000"/>
            </w:tcBorders>
            <w:shd w:val="clear" w:color="auto" w:fill="FFFF99"/>
          </w:tcPr>
          <w:p w:rsidR="00D35B2C" w:rsidRPr="006431FF" w:rsidRDefault="006431FF" w:rsidP="00D35B2C">
            <w:pPr>
              <w:rPr>
                <w:rFonts w:ascii="Times New Roman" w:hAnsi="Times New Roman" w:cs="Times New Roman"/>
                <w:b/>
                <w:sz w:val="24"/>
                <w:szCs w:val="24"/>
                <w:lang w:val="en-AU"/>
              </w:rPr>
            </w:pPr>
            <w:r w:rsidRPr="006431FF">
              <w:rPr>
                <w:rFonts w:ascii="Times New Roman" w:hAnsi="Times New Roman" w:cs="Times New Roman"/>
                <w:b/>
                <w:bCs/>
                <w:sz w:val="24"/>
                <w:szCs w:val="24"/>
              </w:rPr>
              <w:t>Време за реакция след рекламация</w:t>
            </w:r>
          </w:p>
        </w:tc>
        <w:tc>
          <w:tcPr>
            <w:tcW w:w="2114" w:type="dxa"/>
            <w:tcBorders>
              <w:top w:val="single" w:sz="4" w:space="0" w:color="000000"/>
              <w:left w:val="single" w:sz="4" w:space="0" w:color="000000"/>
              <w:bottom w:val="single" w:sz="4" w:space="0" w:color="000000"/>
              <w:right w:val="single" w:sz="4" w:space="0" w:color="000000"/>
            </w:tcBorders>
            <w:shd w:val="clear" w:color="auto" w:fill="FFFF99"/>
          </w:tcPr>
          <w:p w:rsidR="00D35B2C" w:rsidRPr="006431FF" w:rsidRDefault="006431FF" w:rsidP="006431FF">
            <w:pPr>
              <w:rPr>
                <w:rFonts w:ascii="Times New Roman" w:hAnsi="Times New Roman" w:cs="Times New Roman"/>
                <w:b/>
                <w:sz w:val="24"/>
                <w:szCs w:val="24"/>
                <w:lang w:val="en-AU"/>
              </w:rPr>
            </w:pPr>
            <w:r w:rsidRPr="006431FF">
              <w:rPr>
                <w:rFonts w:ascii="Times New Roman" w:hAnsi="Times New Roman" w:cs="Times New Roman"/>
                <w:b/>
                <w:sz w:val="24"/>
                <w:szCs w:val="24"/>
              </w:rPr>
              <w:t>2</w:t>
            </w:r>
            <w:r w:rsidR="00D35B2C" w:rsidRPr="006431FF">
              <w:rPr>
                <w:rFonts w:ascii="Times New Roman" w:hAnsi="Times New Roman" w:cs="Times New Roman"/>
                <w:b/>
                <w:sz w:val="24"/>
                <w:szCs w:val="24"/>
              </w:rPr>
              <w:t>0</w:t>
            </w:r>
            <w:r w:rsidR="00D35B2C" w:rsidRPr="006431FF">
              <w:rPr>
                <w:rFonts w:ascii="Times New Roman" w:hAnsi="Times New Roman" w:cs="Times New Roman"/>
                <w:b/>
                <w:sz w:val="24"/>
                <w:szCs w:val="24"/>
                <w:lang w:val="en-AU"/>
              </w:rPr>
              <w:t>%</w:t>
            </w:r>
          </w:p>
        </w:tc>
      </w:tr>
      <w:tr w:rsidR="00D35B2C" w:rsidRPr="006431FF" w:rsidTr="00A876EB">
        <w:tc>
          <w:tcPr>
            <w:tcW w:w="559" w:type="dxa"/>
            <w:tcBorders>
              <w:top w:val="single" w:sz="4" w:space="0" w:color="000000"/>
              <w:left w:val="single" w:sz="4" w:space="0" w:color="000000"/>
              <w:bottom w:val="single" w:sz="4" w:space="0" w:color="000000"/>
            </w:tcBorders>
            <w:shd w:val="clear" w:color="auto" w:fill="FFFF99"/>
          </w:tcPr>
          <w:p w:rsidR="00D35B2C" w:rsidRPr="006431FF" w:rsidRDefault="006431FF" w:rsidP="00BA0435">
            <w:pPr>
              <w:rPr>
                <w:rFonts w:ascii="Times New Roman" w:hAnsi="Times New Roman" w:cs="Times New Roman"/>
                <w:b/>
                <w:sz w:val="24"/>
                <w:szCs w:val="24"/>
              </w:rPr>
            </w:pPr>
            <w:r w:rsidRPr="006431FF">
              <w:rPr>
                <w:rFonts w:ascii="Times New Roman" w:hAnsi="Times New Roman" w:cs="Times New Roman"/>
                <w:b/>
                <w:sz w:val="24"/>
                <w:szCs w:val="24"/>
              </w:rPr>
              <w:t>П</w:t>
            </w:r>
            <w:r w:rsidR="00BA0435">
              <w:rPr>
                <w:rFonts w:ascii="Times New Roman" w:hAnsi="Times New Roman" w:cs="Times New Roman"/>
                <w:b/>
                <w:sz w:val="24"/>
                <w:szCs w:val="24"/>
              </w:rPr>
              <w:t>3</w:t>
            </w:r>
          </w:p>
        </w:tc>
        <w:tc>
          <w:tcPr>
            <w:tcW w:w="6114" w:type="dxa"/>
            <w:tcBorders>
              <w:top w:val="single" w:sz="4" w:space="0" w:color="000000"/>
              <w:left w:val="single" w:sz="4" w:space="0" w:color="000000"/>
              <w:bottom w:val="single" w:sz="4" w:space="0" w:color="000000"/>
            </w:tcBorders>
            <w:shd w:val="clear" w:color="auto" w:fill="FFFF99"/>
          </w:tcPr>
          <w:p w:rsidR="00D35B2C" w:rsidRPr="006431FF" w:rsidRDefault="006431FF" w:rsidP="00D35B2C">
            <w:pPr>
              <w:rPr>
                <w:rFonts w:ascii="Times New Roman" w:hAnsi="Times New Roman" w:cs="Times New Roman"/>
                <w:b/>
                <w:sz w:val="24"/>
                <w:szCs w:val="24"/>
              </w:rPr>
            </w:pPr>
            <w:r w:rsidRPr="006431FF">
              <w:rPr>
                <w:rFonts w:ascii="Times New Roman" w:hAnsi="Times New Roman" w:cs="Times New Roman"/>
                <w:b/>
                <w:bCs/>
                <w:sz w:val="24"/>
                <w:szCs w:val="24"/>
              </w:rPr>
              <w:t>Оценка на риска</w:t>
            </w:r>
          </w:p>
        </w:tc>
        <w:tc>
          <w:tcPr>
            <w:tcW w:w="2114" w:type="dxa"/>
            <w:tcBorders>
              <w:top w:val="single" w:sz="4" w:space="0" w:color="000000"/>
              <w:left w:val="single" w:sz="4" w:space="0" w:color="000000"/>
              <w:bottom w:val="single" w:sz="4" w:space="0" w:color="000000"/>
              <w:right w:val="single" w:sz="4" w:space="0" w:color="000000"/>
            </w:tcBorders>
            <w:shd w:val="clear" w:color="auto" w:fill="FFFF99"/>
          </w:tcPr>
          <w:p w:rsidR="00D35B2C" w:rsidRPr="006431FF" w:rsidRDefault="006431FF" w:rsidP="006431FF">
            <w:pPr>
              <w:rPr>
                <w:rFonts w:ascii="Times New Roman" w:hAnsi="Times New Roman" w:cs="Times New Roman"/>
                <w:b/>
                <w:sz w:val="24"/>
                <w:szCs w:val="24"/>
              </w:rPr>
            </w:pPr>
            <w:r w:rsidRPr="006431FF">
              <w:rPr>
                <w:rFonts w:ascii="Times New Roman" w:hAnsi="Times New Roman" w:cs="Times New Roman"/>
                <w:b/>
                <w:sz w:val="24"/>
                <w:szCs w:val="24"/>
              </w:rPr>
              <w:t>2</w:t>
            </w:r>
            <w:r w:rsidR="00D35B2C" w:rsidRPr="006431FF">
              <w:rPr>
                <w:rFonts w:ascii="Times New Roman" w:hAnsi="Times New Roman" w:cs="Times New Roman"/>
                <w:b/>
                <w:sz w:val="24"/>
                <w:szCs w:val="24"/>
              </w:rPr>
              <w:t>0%</w:t>
            </w:r>
          </w:p>
        </w:tc>
      </w:tr>
    </w:tbl>
    <w:p w:rsidR="00D35B2C" w:rsidRPr="006431FF" w:rsidRDefault="00D35B2C" w:rsidP="00D35B2C">
      <w:pPr>
        <w:rPr>
          <w:rFonts w:ascii="Times New Roman" w:hAnsi="Times New Roman" w:cs="Times New Roman"/>
          <w:sz w:val="24"/>
          <w:szCs w:val="24"/>
          <w:lang w:val="en-AU"/>
        </w:rPr>
      </w:pPr>
    </w:p>
    <w:p w:rsidR="00D35B2C" w:rsidRPr="006431FF" w:rsidRDefault="00D35B2C" w:rsidP="00D35B2C">
      <w:pPr>
        <w:rPr>
          <w:rFonts w:ascii="Times New Roman" w:hAnsi="Times New Roman" w:cs="Times New Roman"/>
          <w:sz w:val="24"/>
          <w:szCs w:val="24"/>
          <w:u w:val="single"/>
          <w:lang w:val="en-AU"/>
        </w:rPr>
      </w:pPr>
      <w:r w:rsidRPr="006431FF">
        <w:rPr>
          <w:rFonts w:ascii="Times New Roman" w:hAnsi="Times New Roman" w:cs="Times New Roman"/>
          <w:b/>
          <w:sz w:val="24"/>
          <w:szCs w:val="24"/>
          <w:u w:val="single"/>
          <w:lang w:val="en-AU"/>
        </w:rPr>
        <w:t>2.</w:t>
      </w:r>
      <w:r w:rsidRPr="006431FF">
        <w:rPr>
          <w:rFonts w:ascii="Times New Roman" w:hAnsi="Times New Roman" w:cs="Times New Roman"/>
          <w:sz w:val="24"/>
          <w:szCs w:val="24"/>
          <w:u w:val="single"/>
          <w:lang w:val="en-AU"/>
        </w:rPr>
        <w:t xml:space="preserve"> </w:t>
      </w:r>
      <w:proofErr w:type="spellStart"/>
      <w:r w:rsidRPr="006431FF">
        <w:rPr>
          <w:rFonts w:ascii="Times New Roman" w:hAnsi="Times New Roman" w:cs="Times New Roman"/>
          <w:b/>
          <w:sz w:val="24"/>
          <w:szCs w:val="24"/>
          <w:u w:val="single"/>
          <w:lang w:val="en-AU"/>
        </w:rPr>
        <w:t>Методика</w:t>
      </w:r>
      <w:proofErr w:type="spellEnd"/>
      <w:r w:rsidRPr="006431FF">
        <w:rPr>
          <w:rFonts w:ascii="Times New Roman" w:hAnsi="Times New Roman" w:cs="Times New Roman"/>
          <w:b/>
          <w:sz w:val="24"/>
          <w:szCs w:val="24"/>
          <w:u w:val="single"/>
          <w:lang w:val="en-AU"/>
        </w:rPr>
        <w:t xml:space="preserve"> </w:t>
      </w:r>
      <w:proofErr w:type="spellStart"/>
      <w:r w:rsidRPr="006431FF">
        <w:rPr>
          <w:rFonts w:ascii="Times New Roman" w:hAnsi="Times New Roman" w:cs="Times New Roman"/>
          <w:b/>
          <w:sz w:val="24"/>
          <w:szCs w:val="24"/>
          <w:u w:val="single"/>
          <w:lang w:val="en-AU"/>
        </w:rPr>
        <w:t>за</w:t>
      </w:r>
      <w:proofErr w:type="spellEnd"/>
      <w:r w:rsidRPr="006431FF">
        <w:rPr>
          <w:rFonts w:ascii="Times New Roman" w:hAnsi="Times New Roman" w:cs="Times New Roman"/>
          <w:b/>
          <w:sz w:val="24"/>
          <w:szCs w:val="24"/>
          <w:u w:val="single"/>
          <w:lang w:val="en-AU"/>
        </w:rPr>
        <w:t xml:space="preserve"> </w:t>
      </w:r>
      <w:proofErr w:type="spellStart"/>
      <w:r w:rsidRPr="006431FF">
        <w:rPr>
          <w:rFonts w:ascii="Times New Roman" w:hAnsi="Times New Roman" w:cs="Times New Roman"/>
          <w:b/>
          <w:sz w:val="24"/>
          <w:szCs w:val="24"/>
          <w:u w:val="single"/>
          <w:lang w:val="en-AU"/>
        </w:rPr>
        <w:t>изчисляване</w:t>
      </w:r>
      <w:proofErr w:type="spellEnd"/>
      <w:r w:rsidRPr="006431FF">
        <w:rPr>
          <w:rFonts w:ascii="Times New Roman" w:hAnsi="Times New Roman" w:cs="Times New Roman"/>
          <w:b/>
          <w:sz w:val="24"/>
          <w:szCs w:val="24"/>
          <w:u w:val="single"/>
          <w:lang w:val="en-AU"/>
        </w:rPr>
        <w:t xml:space="preserve"> </w:t>
      </w:r>
      <w:proofErr w:type="spellStart"/>
      <w:r w:rsidRPr="006431FF">
        <w:rPr>
          <w:rFonts w:ascii="Times New Roman" w:hAnsi="Times New Roman" w:cs="Times New Roman"/>
          <w:b/>
          <w:sz w:val="24"/>
          <w:szCs w:val="24"/>
          <w:u w:val="single"/>
          <w:lang w:val="en-AU"/>
        </w:rPr>
        <w:t>оценката</w:t>
      </w:r>
      <w:proofErr w:type="spellEnd"/>
      <w:r w:rsidRPr="006431FF">
        <w:rPr>
          <w:rFonts w:ascii="Times New Roman" w:hAnsi="Times New Roman" w:cs="Times New Roman"/>
          <w:b/>
          <w:sz w:val="24"/>
          <w:szCs w:val="24"/>
          <w:u w:val="single"/>
          <w:lang w:val="en-AU"/>
        </w:rPr>
        <w:t xml:space="preserve"> </w:t>
      </w:r>
      <w:proofErr w:type="spellStart"/>
      <w:r w:rsidRPr="006431FF">
        <w:rPr>
          <w:rFonts w:ascii="Times New Roman" w:hAnsi="Times New Roman" w:cs="Times New Roman"/>
          <w:b/>
          <w:sz w:val="24"/>
          <w:szCs w:val="24"/>
          <w:u w:val="single"/>
          <w:lang w:val="en-AU"/>
        </w:rPr>
        <w:t>на</w:t>
      </w:r>
      <w:proofErr w:type="spellEnd"/>
      <w:r w:rsidRPr="006431FF">
        <w:rPr>
          <w:rFonts w:ascii="Times New Roman" w:hAnsi="Times New Roman" w:cs="Times New Roman"/>
          <w:b/>
          <w:sz w:val="24"/>
          <w:szCs w:val="24"/>
          <w:u w:val="single"/>
          <w:lang w:val="en-AU"/>
        </w:rPr>
        <w:t xml:space="preserve"> </w:t>
      </w:r>
      <w:proofErr w:type="spellStart"/>
      <w:r w:rsidRPr="006431FF">
        <w:rPr>
          <w:rFonts w:ascii="Times New Roman" w:hAnsi="Times New Roman" w:cs="Times New Roman"/>
          <w:b/>
          <w:sz w:val="24"/>
          <w:szCs w:val="24"/>
          <w:u w:val="single"/>
          <w:lang w:val="en-AU"/>
        </w:rPr>
        <w:t>офертите</w:t>
      </w:r>
      <w:proofErr w:type="spellEnd"/>
      <w:r w:rsidRPr="006431FF">
        <w:rPr>
          <w:rFonts w:ascii="Times New Roman" w:hAnsi="Times New Roman" w:cs="Times New Roman"/>
          <w:sz w:val="24"/>
          <w:szCs w:val="24"/>
          <w:u w:val="single"/>
          <w:lang w:val="en-AU"/>
        </w:rPr>
        <w:t xml:space="preserve"> </w:t>
      </w:r>
    </w:p>
    <w:p w:rsidR="006D5324" w:rsidRDefault="006431FF" w:rsidP="006431FF">
      <w:pPr>
        <w:autoSpaceDE w:val="0"/>
        <w:autoSpaceDN w:val="0"/>
        <w:adjustRightInd w:val="0"/>
        <w:ind w:firstLine="708"/>
        <w:jc w:val="both"/>
        <w:rPr>
          <w:rFonts w:ascii="Times New Roman" w:hAnsi="Times New Roman" w:cs="Times New Roman"/>
          <w:bCs/>
          <w:sz w:val="24"/>
          <w:szCs w:val="24"/>
        </w:rPr>
      </w:pPr>
      <w:r w:rsidRPr="006D5324">
        <w:rPr>
          <w:rFonts w:ascii="Times New Roman" w:hAnsi="Times New Roman" w:cs="Times New Roman"/>
          <w:b/>
          <w:bCs/>
          <w:sz w:val="24"/>
          <w:szCs w:val="24"/>
        </w:rPr>
        <w:t xml:space="preserve">1. Показател П1: </w:t>
      </w:r>
      <w:r w:rsidRPr="006D5324">
        <w:rPr>
          <w:rFonts w:ascii="Times New Roman" w:hAnsi="Times New Roman" w:cs="Times New Roman"/>
          <w:b/>
          <w:bCs/>
          <w:sz w:val="24"/>
          <w:szCs w:val="24"/>
          <w:u w:val="single"/>
        </w:rPr>
        <w:t>Обща предлагана цена</w:t>
      </w:r>
      <w:r w:rsidRPr="006D5324">
        <w:rPr>
          <w:rFonts w:ascii="Times New Roman" w:hAnsi="Times New Roman" w:cs="Times New Roman"/>
          <w:bCs/>
          <w:sz w:val="24"/>
          <w:szCs w:val="24"/>
        </w:rPr>
        <w:t xml:space="preserve"> (максимален брой точки - 100, относително тегло в комплексната оценка - </w:t>
      </w:r>
      <w:r w:rsidR="00BA0435">
        <w:rPr>
          <w:rFonts w:ascii="Times New Roman" w:hAnsi="Times New Roman" w:cs="Times New Roman"/>
          <w:bCs/>
          <w:sz w:val="24"/>
          <w:szCs w:val="24"/>
        </w:rPr>
        <w:t>6</w:t>
      </w:r>
      <w:r w:rsidRPr="006D5324">
        <w:rPr>
          <w:rFonts w:ascii="Times New Roman" w:hAnsi="Times New Roman" w:cs="Times New Roman"/>
          <w:bCs/>
          <w:sz w:val="24"/>
          <w:szCs w:val="24"/>
        </w:rPr>
        <w:t xml:space="preserve">0 %). </w:t>
      </w:r>
    </w:p>
    <w:p w:rsidR="006431FF" w:rsidRPr="006431FF" w:rsidRDefault="006431FF" w:rsidP="006431FF">
      <w:pPr>
        <w:autoSpaceDE w:val="0"/>
        <w:autoSpaceDN w:val="0"/>
        <w:adjustRightInd w:val="0"/>
        <w:ind w:firstLine="708"/>
        <w:jc w:val="both"/>
        <w:rPr>
          <w:rFonts w:ascii="Times New Roman" w:hAnsi="Times New Roman" w:cs="Times New Roman"/>
          <w:bCs/>
          <w:sz w:val="24"/>
          <w:szCs w:val="24"/>
        </w:rPr>
      </w:pPr>
      <w:r w:rsidRPr="006D5324">
        <w:rPr>
          <w:rFonts w:ascii="Times New Roman" w:hAnsi="Times New Roman" w:cs="Times New Roman"/>
          <w:bCs/>
          <w:sz w:val="24"/>
          <w:szCs w:val="24"/>
        </w:rPr>
        <w:t xml:space="preserve">Посочва се общата цена, която участникът предлага за изпълнението на пълния обем на съответната обособена позиция от предмета на настоящата обществена поръчка. При определяне на общата цена следва да се спазват указанията </w:t>
      </w:r>
      <w:r w:rsidR="006D5324">
        <w:rPr>
          <w:rFonts w:ascii="Times New Roman" w:hAnsi="Times New Roman" w:cs="Times New Roman"/>
          <w:bCs/>
          <w:sz w:val="24"/>
          <w:szCs w:val="24"/>
        </w:rPr>
        <w:t>н</w:t>
      </w:r>
      <w:r w:rsidRPr="006D5324">
        <w:rPr>
          <w:rFonts w:ascii="Times New Roman" w:hAnsi="Times New Roman" w:cs="Times New Roman"/>
          <w:bCs/>
          <w:sz w:val="24"/>
          <w:szCs w:val="24"/>
        </w:rPr>
        <w:t>а</w:t>
      </w:r>
      <w:r w:rsidRPr="006431FF">
        <w:rPr>
          <w:rFonts w:ascii="Times New Roman" w:hAnsi="Times New Roman" w:cs="Times New Roman"/>
          <w:bCs/>
          <w:sz w:val="24"/>
          <w:szCs w:val="24"/>
        </w:rPr>
        <w:t xml:space="preserve"> възложителя да не се прев</w:t>
      </w:r>
      <w:r w:rsidR="006D5324">
        <w:rPr>
          <w:rFonts w:ascii="Times New Roman" w:hAnsi="Times New Roman" w:cs="Times New Roman"/>
          <w:bCs/>
          <w:sz w:val="24"/>
          <w:szCs w:val="24"/>
        </w:rPr>
        <w:t>и</w:t>
      </w:r>
      <w:r w:rsidRPr="006431FF">
        <w:rPr>
          <w:rFonts w:ascii="Times New Roman" w:hAnsi="Times New Roman" w:cs="Times New Roman"/>
          <w:bCs/>
          <w:sz w:val="24"/>
          <w:szCs w:val="24"/>
        </w:rPr>
        <w:t xml:space="preserve">шава прогнозната стойност на всяка от обособените позиции. В случай на констатирано несъответствие участникът ще бъде отстранен. </w:t>
      </w:r>
    </w:p>
    <w:p w:rsidR="006431FF" w:rsidRPr="006431FF" w:rsidRDefault="006431FF" w:rsidP="006431FF">
      <w:pPr>
        <w:autoSpaceDE w:val="0"/>
        <w:autoSpaceDN w:val="0"/>
        <w:adjustRightInd w:val="0"/>
        <w:ind w:firstLine="708"/>
        <w:jc w:val="both"/>
        <w:rPr>
          <w:rFonts w:ascii="Times New Roman" w:hAnsi="Times New Roman" w:cs="Times New Roman"/>
          <w:bCs/>
          <w:sz w:val="24"/>
          <w:szCs w:val="24"/>
        </w:rPr>
      </w:pPr>
      <w:r w:rsidRPr="006431FF">
        <w:rPr>
          <w:rFonts w:ascii="Times New Roman" w:hAnsi="Times New Roman" w:cs="Times New Roman"/>
          <w:bCs/>
          <w:sz w:val="24"/>
          <w:szCs w:val="24"/>
        </w:rPr>
        <w:t xml:space="preserve">Оценката се извършва по следната формула: </w:t>
      </w:r>
    </w:p>
    <w:p w:rsidR="006431FF" w:rsidRPr="006431FF" w:rsidRDefault="006431FF" w:rsidP="006431FF">
      <w:pPr>
        <w:autoSpaceDE w:val="0"/>
        <w:autoSpaceDN w:val="0"/>
        <w:adjustRightInd w:val="0"/>
        <w:ind w:firstLine="708"/>
        <w:jc w:val="both"/>
        <w:rPr>
          <w:rFonts w:ascii="Times New Roman" w:hAnsi="Times New Roman" w:cs="Times New Roman"/>
          <w:bCs/>
          <w:sz w:val="24"/>
          <w:szCs w:val="24"/>
        </w:rPr>
      </w:pPr>
      <w:r w:rsidRPr="006431FF">
        <w:rPr>
          <w:rFonts w:ascii="Times New Roman" w:hAnsi="Times New Roman" w:cs="Times New Roman"/>
          <w:bCs/>
          <w:sz w:val="24"/>
          <w:szCs w:val="24"/>
        </w:rPr>
        <w:t>П1 =100 х (Ц</w:t>
      </w:r>
      <w:r w:rsidRPr="006431FF">
        <w:rPr>
          <w:rFonts w:ascii="Times New Roman" w:hAnsi="Times New Roman" w:cs="Times New Roman"/>
          <w:bCs/>
          <w:sz w:val="24"/>
          <w:szCs w:val="24"/>
          <w:lang w:val="en-US"/>
        </w:rPr>
        <w:t>min</w:t>
      </w:r>
      <w:r w:rsidRPr="006431FF">
        <w:rPr>
          <w:rFonts w:ascii="Times New Roman" w:hAnsi="Times New Roman" w:cs="Times New Roman"/>
          <w:bCs/>
          <w:sz w:val="24"/>
          <w:szCs w:val="24"/>
        </w:rPr>
        <w:t xml:space="preserve"> /Ц</w:t>
      </w:r>
      <w:r w:rsidRPr="006431FF">
        <w:rPr>
          <w:rFonts w:ascii="Times New Roman" w:hAnsi="Times New Roman" w:cs="Times New Roman"/>
          <w:bCs/>
          <w:sz w:val="24"/>
          <w:szCs w:val="24"/>
          <w:lang w:val="en-US"/>
        </w:rPr>
        <w:t>n</w:t>
      </w:r>
      <w:r w:rsidRPr="006431FF">
        <w:rPr>
          <w:rFonts w:ascii="Times New Roman" w:hAnsi="Times New Roman" w:cs="Times New Roman"/>
          <w:bCs/>
          <w:sz w:val="24"/>
          <w:szCs w:val="24"/>
        </w:rPr>
        <w:t xml:space="preserve">), </w:t>
      </w:r>
    </w:p>
    <w:p w:rsidR="006431FF" w:rsidRPr="006431FF" w:rsidRDefault="006431FF" w:rsidP="006431FF">
      <w:pPr>
        <w:autoSpaceDE w:val="0"/>
        <w:autoSpaceDN w:val="0"/>
        <w:adjustRightInd w:val="0"/>
        <w:ind w:firstLine="708"/>
        <w:jc w:val="both"/>
        <w:rPr>
          <w:rFonts w:ascii="Times New Roman" w:hAnsi="Times New Roman" w:cs="Times New Roman"/>
          <w:bCs/>
          <w:sz w:val="24"/>
          <w:szCs w:val="24"/>
        </w:rPr>
      </w:pPr>
      <w:r w:rsidRPr="006431FF">
        <w:rPr>
          <w:rFonts w:ascii="Times New Roman" w:hAnsi="Times New Roman" w:cs="Times New Roman"/>
          <w:bCs/>
          <w:sz w:val="24"/>
          <w:szCs w:val="24"/>
        </w:rPr>
        <w:t xml:space="preserve">където </w:t>
      </w:r>
    </w:p>
    <w:p w:rsidR="006D5324" w:rsidRDefault="006431FF" w:rsidP="006431FF">
      <w:pPr>
        <w:autoSpaceDE w:val="0"/>
        <w:autoSpaceDN w:val="0"/>
        <w:adjustRightInd w:val="0"/>
        <w:ind w:firstLine="708"/>
        <w:jc w:val="both"/>
        <w:rPr>
          <w:rFonts w:ascii="Times New Roman" w:hAnsi="Times New Roman" w:cs="Times New Roman"/>
          <w:bCs/>
          <w:sz w:val="24"/>
          <w:szCs w:val="24"/>
        </w:rPr>
      </w:pPr>
      <w:r w:rsidRPr="006431FF">
        <w:rPr>
          <w:rFonts w:ascii="Times New Roman" w:hAnsi="Times New Roman" w:cs="Times New Roman"/>
          <w:bCs/>
          <w:sz w:val="24"/>
          <w:szCs w:val="24"/>
        </w:rPr>
        <w:t>Ц</w:t>
      </w:r>
      <w:r w:rsidRPr="006431FF">
        <w:rPr>
          <w:rFonts w:ascii="Times New Roman" w:hAnsi="Times New Roman" w:cs="Times New Roman"/>
          <w:bCs/>
          <w:sz w:val="24"/>
          <w:szCs w:val="24"/>
          <w:lang w:val="en-US"/>
        </w:rPr>
        <w:t>min</w:t>
      </w:r>
      <w:r w:rsidRPr="006431FF">
        <w:rPr>
          <w:rFonts w:ascii="Times New Roman" w:hAnsi="Times New Roman" w:cs="Times New Roman"/>
          <w:bCs/>
          <w:sz w:val="24"/>
          <w:szCs w:val="24"/>
        </w:rPr>
        <w:t xml:space="preserve"> е най-ниската предложена обща цена за изпълнение на пълния обем на съответната обособена позиция от предмета на настоящата обществена поръчка; </w:t>
      </w:r>
    </w:p>
    <w:p w:rsidR="006431FF" w:rsidRPr="006431FF" w:rsidRDefault="006431FF" w:rsidP="006431FF">
      <w:pPr>
        <w:autoSpaceDE w:val="0"/>
        <w:autoSpaceDN w:val="0"/>
        <w:adjustRightInd w:val="0"/>
        <w:ind w:firstLine="708"/>
        <w:jc w:val="both"/>
        <w:rPr>
          <w:rFonts w:ascii="Times New Roman" w:hAnsi="Times New Roman" w:cs="Times New Roman"/>
          <w:bCs/>
          <w:sz w:val="24"/>
          <w:szCs w:val="24"/>
        </w:rPr>
      </w:pPr>
      <w:r w:rsidRPr="006431FF">
        <w:rPr>
          <w:rFonts w:ascii="Times New Roman" w:hAnsi="Times New Roman" w:cs="Times New Roman"/>
          <w:bCs/>
          <w:sz w:val="24"/>
          <w:szCs w:val="24"/>
        </w:rPr>
        <w:lastRenderedPageBreak/>
        <w:t>Ц</w:t>
      </w:r>
      <w:r w:rsidRPr="006431FF">
        <w:rPr>
          <w:rFonts w:ascii="Times New Roman" w:hAnsi="Times New Roman" w:cs="Times New Roman"/>
          <w:bCs/>
          <w:sz w:val="24"/>
          <w:szCs w:val="24"/>
          <w:lang w:val="en-US"/>
        </w:rPr>
        <w:t>n</w:t>
      </w:r>
      <w:r w:rsidRPr="006431FF">
        <w:rPr>
          <w:rFonts w:ascii="Times New Roman" w:hAnsi="Times New Roman" w:cs="Times New Roman"/>
          <w:bCs/>
          <w:sz w:val="24"/>
          <w:szCs w:val="24"/>
        </w:rPr>
        <w:t xml:space="preserve"> е общата цена за изпълнение на пълния обем на съответната обособена позиция от предмета на настоящата обществена поръчка, предложена от участника; </w:t>
      </w:r>
    </w:p>
    <w:p w:rsidR="006431FF" w:rsidRPr="006431FF" w:rsidRDefault="006431FF" w:rsidP="006431FF">
      <w:pPr>
        <w:autoSpaceDE w:val="0"/>
        <w:autoSpaceDN w:val="0"/>
        <w:adjustRightInd w:val="0"/>
        <w:ind w:firstLine="708"/>
        <w:jc w:val="both"/>
        <w:rPr>
          <w:rFonts w:ascii="Times New Roman" w:hAnsi="Times New Roman" w:cs="Times New Roman"/>
          <w:bCs/>
          <w:sz w:val="24"/>
          <w:szCs w:val="24"/>
        </w:rPr>
      </w:pPr>
      <w:r w:rsidRPr="006431FF">
        <w:rPr>
          <w:rFonts w:ascii="Times New Roman" w:hAnsi="Times New Roman" w:cs="Times New Roman"/>
          <w:bCs/>
          <w:sz w:val="24"/>
          <w:szCs w:val="24"/>
        </w:rPr>
        <w:t xml:space="preserve">Посочената цена се закръгля до втория знак след десетичната запетая. </w:t>
      </w:r>
    </w:p>
    <w:p w:rsidR="00D35B2C" w:rsidRPr="006431FF" w:rsidRDefault="00D35B2C" w:rsidP="00D35B2C">
      <w:pPr>
        <w:rPr>
          <w:rFonts w:ascii="Times New Roman" w:hAnsi="Times New Roman" w:cs="Times New Roman"/>
          <w:sz w:val="24"/>
          <w:szCs w:val="24"/>
        </w:rPr>
      </w:pPr>
    </w:p>
    <w:p w:rsidR="006431FF" w:rsidRPr="006D5324" w:rsidRDefault="006431FF" w:rsidP="006431FF">
      <w:pPr>
        <w:autoSpaceDE w:val="0"/>
        <w:autoSpaceDN w:val="0"/>
        <w:adjustRightInd w:val="0"/>
        <w:ind w:firstLine="708"/>
        <w:jc w:val="both"/>
        <w:rPr>
          <w:rFonts w:ascii="Times New Roman" w:hAnsi="Times New Roman" w:cs="Times New Roman"/>
          <w:bCs/>
          <w:sz w:val="24"/>
          <w:szCs w:val="24"/>
        </w:rPr>
      </w:pPr>
      <w:r w:rsidRPr="006D5324">
        <w:rPr>
          <w:rFonts w:ascii="Times New Roman" w:hAnsi="Times New Roman" w:cs="Times New Roman"/>
          <w:b/>
          <w:bCs/>
          <w:sz w:val="24"/>
          <w:szCs w:val="24"/>
        </w:rPr>
        <w:t>2</w:t>
      </w:r>
      <w:r w:rsidR="001E57A5" w:rsidRPr="006D5324">
        <w:rPr>
          <w:rFonts w:ascii="Times New Roman" w:hAnsi="Times New Roman" w:cs="Times New Roman"/>
          <w:b/>
          <w:bCs/>
          <w:sz w:val="24"/>
          <w:szCs w:val="24"/>
        </w:rPr>
        <w:t>.</w:t>
      </w:r>
      <w:r w:rsidRPr="006D5324">
        <w:rPr>
          <w:rFonts w:ascii="Times New Roman" w:hAnsi="Times New Roman" w:cs="Times New Roman"/>
          <w:bCs/>
          <w:sz w:val="24"/>
          <w:szCs w:val="24"/>
        </w:rPr>
        <w:t xml:space="preserve">  </w:t>
      </w:r>
      <w:r w:rsidRPr="006D5324">
        <w:rPr>
          <w:rFonts w:ascii="Times New Roman" w:hAnsi="Times New Roman" w:cs="Times New Roman"/>
          <w:b/>
          <w:bCs/>
          <w:sz w:val="24"/>
          <w:szCs w:val="24"/>
        </w:rPr>
        <w:t xml:space="preserve">Показател П2: </w:t>
      </w:r>
      <w:r w:rsidR="001E57A5" w:rsidRPr="006D5324">
        <w:rPr>
          <w:rFonts w:ascii="Times New Roman" w:hAnsi="Times New Roman" w:cs="Times New Roman"/>
          <w:b/>
          <w:bCs/>
          <w:sz w:val="24"/>
          <w:szCs w:val="24"/>
          <w:u w:val="single"/>
        </w:rPr>
        <w:t>Време за реакция след рекламация</w:t>
      </w:r>
      <w:r w:rsidR="001E57A5" w:rsidRPr="006D5324">
        <w:rPr>
          <w:rFonts w:ascii="Times New Roman" w:hAnsi="Times New Roman" w:cs="Times New Roman"/>
          <w:b/>
          <w:bCs/>
          <w:sz w:val="24"/>
          <w:szCs w:val="24"/>
        </w:rPr>
        <w:t xml:space="preserve"> – </w:t>
      </w:r>
      <w:r w:rsidRPr="006D5324">
        <w:rPr>
          <w:rFonts w:ascii="Times New Roman" w:hAnsi="Times New Roman" w:cs="Times New Roman"/>
          <w:bCs/>
          <w:sz w:val="24"/>
          <w:szCs w:val="24"/>
        </w:rPr>
        <w:t xml:space="preserve">(максимален брой точки - 100, относително тегло в комплексната оценка - 20 %). </w:t>
      </w:r>
    </w:p>
    <w:p w:rsidR="001E57A5" w:rsidRPr="006D5324" w:rsidRDefault="001E57A5" w:rsidP="001E57A5">
      <w:pPr>
        <w:autoSpaceDE w:val="0"/>
        <w:autoSpaceDN w:val="0"/>
        <w:adjustRightInd w:val="0"/>
        <w:ind w:firstLine="708"/>
        <w:jc w:val="both"/>
        <w:rPr>
          <w:rFonts w:ascii="Times New Roman" w:hAnsi="Times New Roman" w:cs="Times New Roman"/>
          <w:sz w:val="24"/>
          <w:szCs w:val="24"/>
        </w:rPr>
      </w:pPr>
      <w:r w:rsidRPr="006D5324">
        <w:rPr>
          <w:rFonts w:ascii="Times New Roman" w:hAnsi="Times New Roman" w:cs="Times New Roman"/>
          <w:sz w:val="24"/>
          <w:szCs w:val="24"/>
        </w:rPr>
        <w:t>По този показател и за петте обособени позиции се оценява бързината на доставка на хранителните продукти след тяхното неприемане и рекламация от страна на възложителя поради непълното им съответствие с техническите спецификации, договорните условия и нормативните изисквания.</w:t>
      </w:r>
    </w:p>
    <w:p w:rsidR="001E57A5" w:rsidRPr="006D5324" w:rsidRDefault="001E57A5" w:rsidP="001E57A5">
      <w:pPr>
        <w:autoSpaceDE w:val="0"/>
        <w:autoSpaceDN w:val="0"/>
        <w:adjustRightInd w:val="0"/>
        <w:ind w:firstLine="708"/>
        <w:jc w:val="both"/>
        <w:rPr>
          <w:rFonts w:ascii="Times New Roman" w:hAnsi="Times New Roman" w:cs="Times New Roman"/>
          <w:sz w:val="24"/>
          <w:szCs w:val="24"/>
        </w:rPr>
      </w:pPr>
      <w:r w:rsidRPr="006D5324">
        <w:rPr>
          <w:rFonts w:ascii="Times New Roman" w:hAnsi="Times New Roman" w:cs="Times New Roman"/>
          <w:sz w:val="24"/>
          <w:szCs w:val="24"/>
        </w:rPr>
        <w:t xml:space="preserve">Времето за реакция след рекламация се предлага във времеви измервател – </w:t>
      </w:r>
      <w:r w:rsidRPr="006D5324">
        <w:rPr>
          <w:rFonts w:ascii="Times New Roman" w:hAnsi="Times New Roman" w:cs="Times New Roman"/>
          <w:b/>
          <w:bCs/>
          <w:sz w:val="24"/>
          <w:szCs w:val="24"/>
        </w:rPr>
        <w:t xml:space="preserve">минути </w:t>
      </w:r>
      <w:r w:rsidRPr="006D5324">
        <w:rPr>
          <w:rFonts w:ascii="Times New Roman" w:hAnsi="Times New Roman" w:cs="Times New Roman"/>
          <w:sz w:val="24"/>
          <w:szCs w:val="24"/>
        </w:rPr>
        <w:t>в техническото предложение към офертата.</w:t>
      </w:r>
    </w:p>
    <w:p w:rsidR="001E57A5" w:rsidRPr="006431FF" w:rsidRDefault="001E57A5" w:rsidP="001E57A5">
      <w:pPr>
        <w:autoSpaceDE w:val="0"/>
        <w:autoSpaceDN w:val="0"/>
        <w:adjustRightInd w:val="0"/>
        <w:jc w:val="both"/>
        <w:rPr>
          <w:rFonts w:ascii="Times New Roman" w:hAnsi="Times New Roman" w:cs="Times New Roman"/>
          <w:b/>
          <w:bCs/>
          <w:sz w:val="24"/>
          <w:szCs w:val="24"/>
        </w:rPr>
      </w:pPr>
      <w:r w:rsidRPr="006D5324">
        <w:rPr>
          <w:rFonts w:ascii="Times New Roman" w:hAnsi="Times New Roman" w:cs="Times New Roman"/>
          <w:b/>
          <w:bCs/>
          <w:sz w:val="24"/>
          <w:szCs w:val="24"/>
        </w:rPr>
        <w:t xml:space="preserve">Важно! Задължително е предложените минути за реакция след рекламация да бъдат не повече от </w:t>
      </w:r>
      <w:r w:rsidR="00AE65D5" w:rsidRPr="006D5324">
        <w:rPr>
          <w:rFonts w:ascii="Times New Roman" w:hAnsi="Times New Roman" w:cs="Times New Roman"/>
          <w:b/>
          <w:bCs/>
          <w:sz w:val="24"/>
          <w:szCs w:val="24"/>
        </w:rPr>
        <w:t>120</w:t>
      </w:r>
      <w:r w:rsidRPr="006D5324">
        <w:rPr>
          <w:rFonts w:ascii="Times New Roman" w:hAnsi="Times New Roman" w:cs="Times New Roman"/>
          <w:b/>
          <w:bCs/>
          <w:sz w:val="24"/>
          <w:szCs w:val="24"/>
        </w:rPr>
        <w:t xml:space="preserve"> (</w:t>
      </w:r>
      <w:r w:rsidR="00AE65D5" w:rsidRPr="006D5324">
        <w:rPr>
          <w:rFonts w:ascii="Times New Roman" w:hAnsi="Times New Roman" w:cs="Times New Roman"/>
          <w:b/>
          <w:bCs/>
          <w:sz w:val="24"/>
          <w:szCs w:val="24"/>
        </w:rPr>
        <w:t>сто и двадесет</w:t>
      </w:r>
      <w:r w:rsidRPr="006D5324">
        <w:rPr>
          <w:rFonts w:ascii="Times New Roman" w:hAnsi="Times New Roman" w:cs="Times New Roman"/>
          <w:b/>
          <w:bCs/>
          <w:sz w:val="24"/>
          <w:szCs w:val="24"/>
        </w:rPr>
        <w:t xml:space="preserve">). Офертата на участник, който предложи минути за реакция след рекламация повече от </w:t>
      </w:r>
      <w:r w:rsidR="00AE65D5" w:rsidRPr="006D5324">
        <w:rPr>
          <w:rFonts w:ascii="Times New Roman" w:hAnsi="Times New Roman" w:cs="Times New Roman"/>
          <w:b/>
          <w:bCs/>
          <w:sz w:val="24"/>
          <w:szCs w:val="24"/>
        </w:rPr>
        <w:t>120</w:t>
      </w:r>
      <w:r w:rsidR="00BA0435">
        <w:rPr>
          <w:rFonts w:ascii="Times New Roman" w:hAnsi="Times New Roman" w:cs="Times New Roman"/>
          <w:b/>
          <w:bCs/>
          <w:sz w:val="24"/>
          <w:szCs w:val="24"/>
        </w:rPr>
        <w:t xml:space="preserve"> мин.,</w:t>
      </w:r>
      <w:r w:rsidRPr="006D5324">
        <w:rPr>
          <w:rFonts w:ascii="Times New Roman" w:hAnsi="Times New Roman" w:cs="Times New Roman"/>
          <w:b/>
          <w:bCs/>
          <w:sz w:val="24"/>
          <w:szCs w:val="24"/>
        </w:rPr>
        <w:t xml:space="preserve"> няма да съответства на изискванията на възложителя и следва да бъде отстранена от участие в процедурата.</w:t>
      </w:r>
    </w:p>
    <w:p w:rsidR="00D35B2C" w:rsidRPr="006431FF" w:rsidRDefault="00D35B2C" w:rsidP="00D35B2C">
      <w:pPr>
        <w:rPr>
          <w:rFonts w:ascii="Times New Roman" w:hAnsi="Times New Roman" w:cs="Times New Roman"/>
          <w:sz w:val="24"/>
          <w:szCs w:val="24"/>
        </w:rPr>
      </w:pPr>
    </w:p>
    <w:p w:rsidR="00D35B2C" w:rsidRPr="006D5324" w:rsidRDefault="00D35B2C" w:rsidP="00D35B2C">
      <w:pPr>
        <w:rPr>
          <w:rFonts w:ascii="Times New Roman" w:hAnsi="Times New Roman" w:cs="Times New Roman"/>
          <w:sz w:val="24"/>
          <w:szCs w:val="24"/>
        </w:rPr>
      </w:pPr>
      <w:r w:rsidRPr="006D5324">
        <w:rPr>
          <w:rFonts w:ascii="Times New Roman" w:hAnsi="Times New Roman" w:cs="Times New Roman"/>
          <w:sz w:val="24"/>
          <w:szCs w:val="24"/>
        </w:rPr>
        <w:t>Оценката по този показател се определя по формулата:</w:t>
      </w:r>
    </w:p>
    <w:p w:rsidR="006D5324" w:rsidRPr="006431FF" w:rsidRDefault="006D5324" w:rsidP="006D5324">
      <w:pPr>
        <w:rPr>
          <w:rFonts w:ascii="Times New Roman" w:hAnsi="Times New Roman" w:cs="Times New Roman"/>
          <w:bCs/>
          <w:sz w:val="24"/>
          <w:szCs w:val="24"/>
        </w:rPr>
      </w:pPr>
      <w:r w:rsidRPr="006431FF">
        <w:rPr>
          <w:rFonts w:ascii="Times New Roman" w:hAnsi="Times New Roman" w:cs="Times New Roman"/>
          <w:bCs/>
          <w:sz w:val="24"/>
          <w:szCs w:val="24"/>
        </w:rPr>
        <w:t>П</w:t>
      </w:r>
      <w:r>
        <w:rPr>
          <w:rFonts w:ascii="Times New Roman" w:hAnsi="Times New Roman" w:cs="Times New Roman"/>
          <w:bCs/>
          <w:sz w:val="24"/>
          <w:szCs w:val="24"/>
        </w:rPr>
        <w:t>2</w:t>
      </w:r>
      <w:r w:rsidRPr="006431FF">
        <w:rPr>
          <w:rFonts w:ascii="Times New Roman" w:hAnsi="Times New Roman" w:cs="Times New Roman"/>
          <w:bCs/>
          <w:sz w:val="24"/>
          <w:szCs w:val="24"/>
        </w:rPr>
        <w:t xml:space="preserve"> =100 х (</w:t>
      </w:r>
      <w:r w:rsidRPr="006D5324">
        <w:rPr>
          <w:rFonts w:ascii="Times New Roman" w:hAnsi="Times New Roman" w:cs="Times New Roman"/>
          <w:sz w:val="24"/>
          <w:szCs w:val="24"/>
          <w:u w:val="single"/>
        </w:rPr>
        <w:t>Срок min</w:t>
      </w:r>
      <w:r w:rsidRPr="006D5324">
        <w:rPr>
          <w:rFonts w:ascii="Times New Roman" w:hAnsi="Times New Roman" w:cs="Times New Roman"/>
          <w:sz w:val="24"/>
          <w:szCs w:val="24"/>
        </w:rPr>
        <w:t xml:space="preserve"> </w:t>
      </w:r>
      <w:r w:rsidRPr="006431FF">
        <w:rPr>
          <w:rFonts w:ascii="Times New Roman" w:hAnsi="Times New Roman" w:cs="Times New Roman"/>
          <w:bCs/>
          <w:sz w:val="24"/>
          <w:szCs w:val="24"/>
        </w:rPr>
        <w:t>/</w:t>
      </w:r>
      <w:r w:rsidRPr="006D5324">
        <w:rPr>
          <w:rFonts w:ascii="Times New Roman" w:hAnsi="Times New Roman" w:cs="Times New Roman"/>
          <w:sz w:val="24"/>
          <w:szCs w:val="24"/>
        </w:rPr>
        <w:t xml:space="preserve">Срок </w:t>
      </w:r>
      <w:r w:rsidRPr="006D5324">
        <w:rPr>
          <w:rFonts w:ascii="Times New Roman" w:hAnsi="Times New Roman" w:cs="Times New Roman"/>
          <w:sz w:val="24"/>
          <w:szCs w:val="24"/>
          <w:lang w:val="en-US"/>
        </w:rPr>
        <w:t>n</w:t>
      </w:r>
      <w:r w:rsidRPr="006431FF">
        <w:rPr>
          <w:rFonts w:ascii="Times New Roman" w:hAnsi="Times New Roman" w:cs="Times New Roman"/>
          <w:bCs/>
          <w:sz w:val="24"/>
          <w:szCs w:val="24"/>
        </w:rPr>
        <w:t xml:space="preserve">), </w:t>
      </w:r>
    </w:p>
    <w:p w:rsidR="00D35B2C" w:rsidRPr="006D5324" w:rsidRDefault="00D35B2C" w:rsidP="00D35B2C">
      <w:pPr>
        <w:rPr>
          <w:rFonts w:ascii="Times New Roman" w:hAnsi="Times New Roman" w:cs="Times New Roman"/>
          <w:sz w:val="24"/>
          <w:szCs w:val="24"/>
        </w:rPr>
      </w:pPr>
    </w:p>
    <w:p w:rsidR="00D35B2C" w:rsidRPr="006D5324" w:rsidRDefault="00D35B2C" w:rsidP="00D35B2C">
      <w:pPr>
        <w:rPr>
          <w:rFonts w:ascii="Times New Roman" w:hAnsi="Times New Roman" w:cs="Times New Roman"/>
          <w:sz w:val="24"/>
          <w:szCs w:val="24"/>
        </w:rPr>
      </w:pPr>
      <w:r w:rsidRPr="006D5324">
        <w:rPr>
          <w:rFonts w:ascii="Times New Roman" w:hAnsi="Times New Roman" w:cs="Times New Roman"/>
          <w:sz w:val="24"/>
          <w:szCs w:val="24"/>
        </w:rPr>
        <w:t>Където:</w:t>
      </w:r>
    </w:p>
    <w:p w:rsidR="00D35B2C" w:rsidRPr="006D5324" w:rsidRDefault="00D35B2C" w:rsidP="00D35B2C">
      <w:pPr>
        <w:rPr>
          <w:rFonts w:ascii="Times New Roman" w:hAnsi="Times New Roman" w:cs="Times New Roman"/>
          <w:sz w:val="24"/>
          <w:szCs w:val="24"/>
        </w:rPr>
      </w:pPr>
      <w:r w:rsidRPr="006D5324">
        <w:rPr>
          <w:rFonts w:ascii="Times New Roman" w:hAnsi="Times New Roman" w:cs="Times New Roman"/>
          <w:sz w:val="24"/>
          <w:szCs w:val="24"/>
        </w:rPr>
        <w:t xml:space="preserve">Срок min е най – краткият предложен срок за реагиране в </w:t>
      </w:r>
      <w:r w:rsidR="00AE65D5" w:rsidRPr="006D5324">
        <w:rPr>
          <w:rFonts w:ascii="Times New Roman" w:hAnsi="Times New Roman" w:cs="Times New Roman"/>
          <w:sz w:val="24"/>
          <w:szCs w:val="24"/>
        </w:rPr>
        <w:t>минути</w:t>
      </w:r>
      <w:r w:rsidRPr="006D5324">
        <w:rPr>
          <w:rFonts w:ascii="Times New Roman" w:hAnsi="Times New Roman" w:cs="Times New Roman"/>
          <w:sz w:val="24"/>
          <w:szCs w:val="24"/>
        </w:rPr>
        <w:t xml:space="preserve">, </w:t>
      </w:r>
    </w:p>
    <w:p w:rsidR="00D35B2C" w:rsidRPr="006D5324" w:rsidRDefault="00D35B2C" w:rsidP="00D35B2C">
      <w:pPr>
        <w:rPr>
          <w:rFonts w:ascii="Times New Roman" w:hAnsi="Times New Roman" w:cs="Times New Roman"/>
          <w:sz w:val="24"/>
          <w:szCs w:val="24"/>
        </w:rPr>
      </w:pPr>
      <w:r w:rsidRPr="006D5324">
        <w:rPr>
          <w:rFonts w:ascii="Times New Roman" w:hAnsi="Times New Roman" w:cs="Times New Roman"/>
          <w:sz w:val="24"/>
          <w:szCs w:val="24"/>
        </w:rPr>
        <w:t xml:space="preserve">Срок </w:t>
      </w:r>
      <w:r w:rsidR="00AE65D5" w:rsidRPr="006D5324">
        <w:rPr>
          <w:rFonts w:ascii="Times New Roman" w:hAnsi="Times New Roman" w:cs="Times New Roman"/>
          <w:sz w:val="24"/>
          <w:szCs w:val="24"/>
          <w:lang w:val="en-US"/>
        </w:rPr>
        <w:t>n</w:t>
      </w:r>
      <w:r w:rsidRPr="006D5324">
        <w:rPr>
          <w:rFonts w:ascii="Times New Roman" w:hAnsi="Times New Roman" w:cs="Times New Roman"/>
          <w:sz w:val="24"/>
          <w:szCs w:val="24"/>
        </w:rPr>
        <w:t xml:space="preserve"> е предложеният от оценявания участник срок за реагиране в </w:t>
      </w:r>
      <w:r w:rsidR="00AE65D5" w:rsidRPr="006D5324">
        <w:rPr>
          <w:rFonts w:ascii="Times New Roman" w:hAnsi="Times New Roman" w:cs="Times New Roman"/>
          <w:sz w:val="24"/>
          <w:szCs w:val="24"/>
        </w:rPr>
        <w:t>минути</w:t>
      </w:r>
      <w:r w:rsidRPr="006D5324">
        <w:rPr>
          <w:rFonts w:ascii="Times New Roman" w:hAnsi="Times New Roman" w:cs="Times New Roman"/>
          <w:sz w:val="24"/>
          <w:szCs w:val="24"/>
        </w:rPr>
        <w:t xml:space="preserve">. </w:t>
      </w:r>
    </w:p>
    <w:p w:rsidR="004A517B" w:rsidRPr="004334C3" w:rsidRDefault="00BA0435" w:rsidP="004A517B">
      <w:pPr>
        <w:autoSpaceDE w:val="0"/>
        <w:autoSpaceDN w:val="0"/>
        <w:adjustRightInd w:val="0"/>
        <w:ind w:firstLine="708"/>
        <w:jc w:val="both"/>
        <w:rPr>
          <w:rFonts w:ascii="Times New Roman" w:hAnsi="Times New Roman" w:cs="Times New Roman"/>
          <w:b/>
          <w:bCs/>
          <w:sz w:val="24"/>
          <w:szCs w:val="24"/>
        </w:rPr>
      </w:pPr>
      <w:r>
        <w:rPr>
          <w:rFonts w:ascii="Times New Roman" w:hAnsi="Times New Roman" w:cs="Times New Roman"/>
          <w:b/>
          <w:bCs/>
          <w:sz w:val="24"/>
          <w:szCs w:val="24"/>
        </w:rPr>
        <w:t>3</w:t>
      </w:r>
      <w:r w:rsidR="004A517B" w:rsidRPr="004334C3">
        <w:rPr>
          <w:rFonts w:ascii="Times New Roman" w:hAnsi="Times New Roman" w:cs="Times New Roman"/>
          <w:b/>
          <w:bCs/>
          <w:sz w:val="24"/>
          <w:szCs w:val="24"/>
        </w:rPr>
        <w:t>. Показател П</w:t>
      </w:r>
      <w:r>
        <w:rPr>
          <w:rFonts w:ascii="Times New Roman" w:hAnsi="Times New Roman" w:cs="Times New Roman"/>
          <w:b/>
          <w:bCs/>
          <w:sz w:val="24"/>
          <w:szCs w:val="24"/>
        </w:rPr>
        <w:t>3</w:t>
      </w:r>
      <w:r w:rsidR="004A517B" w:rsidRPr="004334C3">
        <w:rPr>
          <w:rFonts w:ascii="Times New Roman" w:hAnsi="Times New Roman" w:cs="Times New Roman"/>
          <w:b/>
          <w:bCs/>
          <w:sz w:val="24"/>
          <w:szCs w:val="24"/>
        </w:rPr>
        <w:t xml:space="preserve">: </w:t>
      </w:r>
      <w:r w:rsidR="004A517B" w:rsidRPr="004334C3">
        <w:rPr>
          <w:rFonts w:ascii="Times New Roman" w:hAnsi="Times New Roman" w:cs="Times New Roman"/>
          <w:b/>
          <w:bCs/>
          <w:sz w:val="24"/>
          <w:szCs w:val="24"/>
          <w:u w:val="single"/>
        </w:rPr>
        <w:t>Оценка на риска</w:t>
      </w:r>
      <w:r w:rsidR="004A517B" w:rsidRPr="004334C3">
        <w:rPr>
          <w:rFonts w:ascii="Times New Roman" w:hAnsi="Times New Roman" w:cs="Times New Roman"/>
          <w:b/>
          <w:bCs/>
          <w:sz w:val="24"/>
          <w:szCs w:val="24"/>
        </w:rPr>
        <w:t xml:space="preserve"> (максимален брой точки - 100, относително тегло в комплексната оценка - 20 %). </w:t>
      </w:r>
    </w:p>
    <w:p w:rsidR="004334C3" w:rsidRDefault="004A517B" w:rsidP="004A517B">
      <w:pPr>
        <w:autoSpaceDE w:val="0"/>
        <w:autoSpaceDN w:val="0"/>
        <w:adjustRightInd w:val="0"/>
        <w:ind w:firstLine="708"/>
        <w:jc w:val="both"/>
        <w:rPr>
          <w:rFonts w:ascii="Times New Roman" w:hAnsi="Times New Roman" w:cs="Times New Roman"/>
          <w:bCs/>
          <w:sz w:val="24"/>
          <w:szCs w:val="24"/>
        </w:rPr>
      </w:pPr>
      <w:r w:rsidRPr="006431FF">
        <w:rPr>
          <w:rFonts w:ascii="Times New Roman" w:hAnsi="Times New Roman" w:cs="Times New Roman"/>
          <w:bCs/>
          <w:sz w:val="24"/>
          <w:szCs w:val="24"/>
        </w:rPr>
        <w:t xml:space="preserve">Всеки участник следва да представи обяснителна записка, съдържаща: Изброяване и разглеждане на рисковете, идентифицирани от самия участник, които биха оказали влияние върху изпълнението на договора; Предложения за намаляване на влиянието на рисковете или ограничаването им (начин/и за преодоляване на рисковете или за тяхното минимизиране и описание на потенциалните предпоставки (допускания) за успешното изпълнение на договора).  Стратегия (адекватни мерки) за управление на рисковете и предложения за конкретни действия при всеки един възможен риск с цел влиянието му да бъде ограничено или въобще да не настъпи. </w:t>
      </w:r>
    </w:p>
    <w:p w:rsidR="004A517B" w:rsidRPr="006431FF" w:rsidRDefault="004A517B" w:rsidP="004A517B">
      <w:pPr>
        <w:autoSpaceDE w:val="0"/>
        <w:autoSpaceDN w:val="0"/>
        <w:adjustRightInd w:val="0"/>
        <w:ind w:firstLine="708"/>
        <w:jc w:val="both"/>
        <w:rPr>
          <w:rFonts w:ascii="Times New Roman" w:hAnsi="Times New Roman" w:cs="Times New Roman"/>
          <w:bCs/>
          <w:sz w:val="24"/>
          <w:szCs w:val="24"/>
        </w:rPr>
      </w:pPr>
      <w:r w:rsidRPr="006431FF">
        <w:rPr>
          <w:rFonts w:ascii="Times New Roman" w:hAnsi="Times New Roman" w:cs="Times New Roman"/>
          <w:bCs/>
          <w:sz w:val="24"/>
          <w:szCs w:val="24"/>
        </w:rPr>
        <w:lastRenderedPageBreak/>
        <w:t>Важно и съществено за възложителя при предложенията относно рисковете и предпоставките е да се обхванат възможно най-много на брой потенциални рискове, свързани с предмета на настоящата поръчка</w:t>
      </w:r>
      <w:r w:rsidR="004334C3">
        <w:rPr>
          <w:rFonts w:ascii="Times New Roman" w:hAnsi="Times New Roman" w:cs="Times New Roman"/>
          <w:bCs/>
          <w:sz w:val="24"/>
          <w:szCs w:val="24"/>
        </w:rPr>
        <w:t>.</w:t>
      </w:r>
      <w:r w:rsidRPr="006431FF">
        <w:rPr>
          <w:rFonts w:ascii="Times New Roman" w:hAnsi="Times New Roman" w:cs="Times New Roman"/>
          <w:bCs/>
          <w:sz w:val="24"/>
          <w:szCs w:val="24"/>
        </w:rPr>
        <w:t xml:space="preserve"> </w:t>
      </w:r>
    </w:p>
    <w:p w:rsidR="004A517B" w:rsidRPr="006431FF" w:rsidRDefault="004A517B" w:rsidP="004A517B">
      <w:pPr>
        <w:autoSpaceDE w:val="0"/>
        <w:autoSpaceDN w:val="0"/>
        <w:adjustRightInd w:val="0"/>
        <w:ind w:firstLine="708"/>
        <w:jc w:val="both"/>
        <w:rPr>
          <w:rFonts w:ascii="Times New Roman" w:hAnsi="Times New Roman" w:cs="Times New Roman"/>
          <w:bCs/>
          <w:sz w:val="24"/>
          <w:szCs w:val="24"/>
        </w:rPr>
      </w:pPr>
      <w:r w:rsidRPr="006431FF">
        <w:rPr>
          <w:rFonts w:ascii="Times New Roman" w:hAnsi="Times New Roman" w:cs="Times New Roman"/>
          <w:bCs/>
          <w:sz w:val="24"/>
          <w:szCs w:val="24"/>
        </w:rPr>
        <w:t xml:space="preserve">Точките по качествения показател </w:t>
      </w:r>
      <w:r w:rsidR="00BA0435">
        <w:rPr>
          <w:rFonts w:ascii="Times New Roman" w:hAnsi="Times New Roman" w:cs="Times New Roman"/>
          <w:bCs/>
          <w:sz w:val="24"/>
          <w:szCs w:val="24"/>
        </w:rPr>
        <w:t>–</w:t>
      </w:r>
      <w:r w:rsidRPr="006431FF">
        <w:rPr>
          <w:rFonts w:ascii="Times New Roman" w:hAnsi="Times New Roman" w:cs="Times New Roman"/>
          <w:bCs/>
          <w:sz w:val="24"/>
          <w:szCs w:val="24"/>
        </w:rPr>
        <w:t xml:space="preserve"> П</w:t>
      </w:r>
      <w:r w:rsidR="00BA0435">
        <w:rPr>
          <w:rFonts w:ascii="Times New Roman" w:hAnsi="Times New Roman" w:cs="Times New Roman"/>
          <w:bCs/>
          <w:sz w:val="24"/>
          <w:szCs w:val="24"/>
        </w:rPr>
        <w:t>3</w:t>
      </w:r>
      <w:r w:rsidRPr="006431FF">
        <w:rPr>
          <w:rFonts w:ascii="Times New Roman" w:hAnsi="Times New Roman" w:cs="Times New Roman"/>
          <w:bCs/>
          <w:sz w:val="24"/>
          <w:szCs w:val="24"/>
        </w:rPr>
        <w:t xml:space="preserve"> „Оценка на риска" ще се присъждат от оценителната комисия въз основа на експертна мотивирана оценка, която ще оценява  въз основа на опита и квалификацията на членовете </w:t>
      </w:r>
      <w:r w:rsidR="004334C3">
        <w:rPr>
          <w:rFonts w:ascii="Times New Roman" w:hAnsi="Times New Roman" w:cs="Times New Roman"/>
          <w:bCs/>
          <w:sz w:val="24"/>
          <w:szCs w:val="24"/>
        </w:rPr>
        <w:t>си</w:t>
      </w:r>
      <w:r w:rsidRPr="006431FF">
        <w:rPr>
          <w:rFonts w:ascii="Times New Roman" w:hAnsi="Times New Roman" w:cs="Times New Roman"/>
          <w:bCs/>
          <w:sz w:val="24"/>
          <w:szCs w:val="24"/>
        </w:rPr>
        <w:t xml:space="preserve">. </w:t>
      </w:r>
    </w:p>
    <w:p w:rsidR="004334C3" w:rsidRPr="006431FF" w:rsidRDefault="004A517B" w:rsidP="004334C3">
      <w:pPr>
        <w:autoSpaceDE w:val="0"/>
        <w:autoSpaceDN w:val="0"/>
        <w:adjustRightInd w:val="0"/>
        <w:ind w:firstLine="708"/>
        <w:jc w:val="both"/>
        <w:rPr>
          <w:rFonts w:ascii="Times New Roman" w:hAnsi="Times New Roman" w:cs="Times New Roman"/>
          <w:bCs/>
          <w:sz w:val="24"/>
          <w:szCs w:val="24"/>
        </w:rPr>
      </w:pPr>
      <w:r w:rsidRPr="006431FF">
        <w:rPr>
          <w:rFonts w:ascii="Times New Roman" w:hAnsi="Times New Roman" w:cs="Times New Roman"/>
          <w:bCs/>
          <w:sz w:val="24"/>
          <w:szCs w:val="24"/>
        </w:rPr>
        <w:t>Скалата за оценка по показател „П</w:t>
      </w:r>
      <w:r w:rsidR="00BA0435">
        <w:rPr>
          <w:rFonts w:ascii="Times New Roman" w:hAnsi="Times New Roman" w:cs="Times New Roman"/>
          <w:bCs/>
          <w:sz w:val="24"/>
          <w:szCs w:val="24"/>
        </w:rPr>
        <w:t>3</w:t>
      </w:r>
      <w:r w:rsidRPr="006431FF">
        <w:rPr>
          <w:rFonts w:ascii="Times New Roman" w:hAnsi="Times New Roman" w:cs="Times New Roman"/>
          <w:bCs/>
          <w:sz w:val="24"/>
          <w:szCs w:val="24"/>
        </w:rPr>
        <w:t xml:space="preserve">" е </w:t>
      </w:r>
      <w:r w:rsidR="00B14B93">
        <w:rPr>
          <w:rFonts w:ascii="Times New Roman" w:hAnsi="Times New Roman" w:cs="Times New Roman"/>
          <w:bCs/>
          <w:sz w:val="24"/>
          <w:szCs w:val="24"/>
        </w:rPr>
        <w:t>три</w:t>
      </w:r>
      <w:r w:rsidRPr="006431FF">
        <w:rPr>
          <w:rFonts w:ascii="Times New Roman" w:hAnsi="Times New Roman" w:cs="Times New Roman"/>
          <w:bCs/>
          <w:sz w:val="24"/>
          <w:szCs w:val="24"/>
        </w:rPr>
        <w:t>степенна. Всяка оферта получава 100</w:t>
      </w:r>
      <w:r w:rsidR="00B14B93">
        <w:rPr>
          <w:rFonts w:ascii="Times New Roman" w:hAnsi="Times New Roman" w:cs="Times New Roman"/>
          <w:bCs/>
          <w:sz w:val="24"/>
          <w:szCs w:val="24"/>
        </w:rPr>
        <w:t>, 6</w:t>
      </w:r>
      <w:r w:rsidRPr="006431FF">
        <w:rPr>
          <w:rFonts w:ascii="Times New Roman" w:hAnsi="Times New Roman" w:cs="Times New Roman"/>
          <w:bCs/>
          <w:sz w:val="24"/>
          <w:szCs w:val="24"/>
        </w:rPr>
        <w:t>5</w:t>
      </w:r>
      <w:r w:rsidR="00B14B93">
        <w:rPr>
          <w:rFonts w:ascii="Times New Roman" w:hAnsi="Times New Roman" w:cs="Times New Roman"/>
          <w:bCs/>
          <w:sz w:val="24"/>
          <w:szCs w:val="24"/>
        </w:rPr>
        <w:t xml:space="preserve"> или</w:t>
      </w:r>
      <w:r w:rsidRPr="006431FF">
        <w:rPr>
          <w:rFonts w:ascii="Times New Roman" w:hAnsi="Times New Roman" w:cs="Times New Roman"/>
          <w:bCs/>
          <w:sz w:val="24"/>
          <w:szCs w:val="24"/>
        </w:rPr>
        <w:t xml:space="preserve"> </w:t>
      </w:r>
      <w:r w:rsidR="00B14B93">
        <w:rPr>
          <w:rFonts w:ascii="Times New Roman" w:hAnsi="Times New Roman" w:cs="Times New Roman"/>
          <w:bCs/>
          <w:sz w:val="24"/>
          <w:szCs w:val="24"/>
        </w:rPr>
        <w:t>3</w:t>
      </w:r>
      <w:r w:rsidRPr="006431FF">
        <w:rPr>
          <w:rFonts w:ascii="Times New Roman" w:hAnsi="Times New Roman" w:cs="Times New Roman"/>
          <w:bCs/>
          <w:sz w:val="24"/>
          <w:szCs w:val="24"/>
        </w:rPr>
        <w:t>5 точки, в съответствие с качеството на представената оферта, съгласно</w:t>
      </w:r>
      <w:r w:rsidR="00F2417A" w:rsidRPr="006431FF">
        <w:rPr>
          <w:rFonts w:ascii="Times New Roman" w:hAnsi="Times New Roman" w:cs="Times New Roman"/>
          <w:bCs/>
          <w:sz w:val="24"/>
          <w:szCs w:val="24"/>
        </w:rPr>
        <w:t xml:space="preserve"> </w:t>
      </w:r>
      <w:r w:rsidRPr="006431FF">
        <w:rPr>
          <w:rFonts w:ascii="Times New Roman" w:hAnsi="Times New Roman" w:cs="Times New Roman"/>
          <w:bCs/>
          <w:sz w:val="24"/>
          <w:szCs w:val="24"/>
        </w:rPr>
        <w:t>изискванията на Възложителя</w:t>
      </w:r>
      <w:r w:rsidR="004334C3">
        <w:rPr>
          <w:rFonts w:ascii="Times New Roman" w:hAnsi="Times New Roman" w:cs="Times New Roman"/>
          <w:bCs/>
          <w:sz w:val="24"/>
          <w:szCs w:val="24"/>
        </w:rPr>
        <w:t>.</w:t>
      </w:r>
      <w:r w:rsidRPr="006431FF">
        <w:rPr>
          <w:rFonts w:ascii="Times New Roman" w:hAnsi="Times New Roman" w:cs="Times New Roman"/>
          <w:bCs/>
          <w:sz w:val="24"/>
          <w:szCs w:val="24"/>
        </w:rPr>
        <w:t xml:space="preserve"> </w:t>
      </w:r>
      <w:r w:rsidR="004334C3" w:rsidRPr="006431FF">
        <w:rPr>
          <w:rFonts w:ascii="Times New Roman" w:hAnsi="Times New Roman" w:cs="Times New Roman"/>
          <w:bCs/>
          <w:sz w:val="24"/>
          <w:szCs w:val="24"/>
        </w:rPr>
        <w:t xml:space="preserve">Максимален брой точки -  100 точки. В таблицата по-долу са дадени пояснения за условията, при които дадена оферта получава оценка. </w:t>
      </w:r>
    </w:p>
    <w:p w:rsidR="00D47C66" w:rsidRPr="00C31FB1" w:rsidRDefault="00D47C66" w:rsidP="00D47C66">
      <w:pPr>
        <w:spacing w:after="0" w:line="240" w:lineRule="auto"/>
        <w:jc w:val="both"/>
        <w:rPr>
          <w:rFonts w:ascii="Times New Roman" w:eastAsia="Batang" w:hAnsi="Times New Roman" w:cs="Times New Roman"/>
          <w:sz w:val="24"/>
          <w:szCs w:val="24"/>
          <w:lang w:val="ru-RU"/>
        </w:rPr>
      </w:pPr>
    </w:p>
    <w:p w:rsidR="00D47C66" w:rsidRPr="00C31FB1" w:rsidRDefault="00D47C66" w:rsidP="00D47C66">
      <w:pPr>
        <w:spacing w:after="0" w:line="240" w:lineRule="auto"/>
        <w:jc w:val="both"/>
        <w:rPr>
          <w:rFonts w:ascii="Times New Roman" w:eastAsia="Batang" w:hAnsi="Times New Roman" w:cs="Times New Roman"/>
          <w:sz w:val="24"/>
          <w:szCs w:val="24"/>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2"/>
        <w:gridCol w:w="7562"/>
        <w:gridCol w:w="988"/>
      </w:tblGrid>
      <w:tr w:rsidR="00D47C66" w:rsidRPr="00C31FB1" w:rsidTr="00C751BE">
        <w:tc>
          <w:tcPr>
            <w:tcW w:w="652" w:type="dxa"/>
            <w:shd w:val="solid" w:color="auto" w:fill="auto"/>
          </w:tcPr>
          <w:p w:rsidR="00D47C66" w:rsidRPr="00C31FB1" w:rsidRDefault="00D47C66" w:rsidP="00C751BE">
            <w:pPr>
              <w:spacing w:after="0" w:line="240" w:lineRule="auto"/>
              <w:jc w:val="both"/>
              <w:rPr>
                <w:rFonts w:ascii="Times New Roman" w:eastAsia="Times New Roman" w:hAnsi="Times New Roman" w:cs="Times New Roman"/>
                <w:color w:val="FFFFFF"/>
                <w:sz w:val="24"/>
                <w:szCs w:val="24"/>
              </w:rPr>
            </w:pPr>
          </w:p>
        </w:tc>
        <w:tc>
          <w:tcPr>
            <w:tcW w:w="7562" w:type="dxa"/>
            <w:shd w:val="solid" w:color="auto" w:fill="auto"/>
          </w:tcPr>
          <w:p w:rsidR="00D47C66" w:rsidRPr="00C31FB1" w:rsidRDefault="00D47C66" w:rsidP="00C751BE">
            <w:pPr>
              <w:spacing w:after="0" w:line="240" w:lineRule="auto"/>
              <w:jc w:val="both"/>
              <w:rPr>
                <w:rFonts w:ascii="Times New Roman" w:eastAsia="Times New Roman" w:hAnsi="Times New Roman" w:cs="Times New Roman"/>
                <w:color w:val="FFFFFF"/>
                <w:sz w:val="24"/>
                <w:szCs w:val="24"/>
              </w:rPr>
            </w:pPr>
            <w:r w:rsidRPr="00C31FB1">
              <w:rPr>
                <w:rFonts w:ascii="Times New Roman" w:eastAsia="Times New Roman" w:hAnsi="Times New Roman" w:cs="Times New Roman"/>
                <w:color w:val="FFFFFF"/>
                <w:sz w:val="24"/>
                <w:szCs w:val="24"/>
              </w:rPr>
              <w:t>Показател и степен на съответствие</w:t>
            </w:r>
          </w:p>
        </w:tc>
        <w:tc>
          <w:tcPr>
            <w:tcW w:w="988" w:type="dxa"/>
            <w:shd w:val="solid" w:color="auto" w:fill="auto"/>
          </w:tcPr>
          <w:p w:rsidR="00D47C66" w:rsidRPr="00C31FB1" w:rsidRDefault="00D47C66" w:rsidP="00C751BE">
            <w:pPr>
              <w:spacing w:after="0" w:line="240" w:lineRule="auto"/>
              <w:jc w:val="center"/>
              <w:rPr>
                <w:rFonts w:ascii="Times New Roman" w:eastAsia="Times New Roman" w:hAnsi="Times New Roman" w:cs="Times New Roman"/>
                <w:color w:val="FFFFFF"/>
                <w:sz w:val="24"/>
                <w:szCs w:val="24"/>
              </w:rPr>
            </w:pPr>
            <w:r w:rsidRPr="00C31FB1">
              <w:rPr>
                <w:rFonts w:ascii="Times New Roman" w:eastAsia="Times New Roman" w:hAnsi="Times New Roman" w:cs="Times New Roman"/>
                <w:color w:val="FFFFFF"/>
                <w:sz w:val="24"/>
                <w:szCs w:val="24"/>
              </w:rPr>
              <w:t>Точки</w:t>
            </w:r>
          </w:p>
        </w:tc>
      </w:tr>
      <w:tr w:rsidR="00D47C66" w:rsidRPr="00C31FB1" w:rsidTr="00C751BE">
        <w:tc>
          <w:tcPr>
            <w:tcW w:w="652" w:type="dxa"/>
            <w:shd w:val="clear" w:color="auto" w:fill="BFBFBF"/>
          </w:tcPr>
          <w:p w:rsidR="00D47C66" w:rsidRPr="00C31FB1" w:rsidRDefault="00D47C66" w:rsidP="00BA0435">
            <w:pPr>
              <w:spacing w:after="0" w:line="240" w:lineRule="auto"/>
              <w:jc w:val="both"/>
              <w:rPr>
                <w:rFonts w:ascii="Times New Roman" w:eastAsia="Times New Roman" w:hAnsi="Times New Roman" w:cs="Times New Roman"/>
                <w:color w:val="000000"/>
                <w:sz w:val="24"/>
                <w:szCs w:val="24"/>
              </w:rPr>
            </w:pPr>
            <w:r w:rsidRPr="006431FF">
              <w:rPr>
                <w:rFonts w:ascii="Times New Roman" w:eastAsia="Times New Roman" w:hAnsi="Times New Roman" w:cs="Times New Roman"/>
                <w:b/>
                <w:bCs/>
                <w:color w:val="000000"/>
                <w:sz w:val="24"/>
                <w:szCs w:val="24"/>
              </w:rPr>
              <w:t>П</w:t>
            </w:r>
            <w:r w:rsidR="00BA0435">
              <w:rPr>
                <w:rFonts w:ascii="Times New Roman" w:eastAsia="Times New Roman" w:hAnsi="Times New Roman" w:cs="Times New Roman"/>
                <w:b/>
                <w:bCs/>
                <w:color w:val="000000"/>
                <w:sz w:val="24"/>
                <w:szCs w:val="24"/>
              </w:rPr>
              <w:t>3</w:t>
            </w:r>
          </w:p>
        </w:tc>
        <w:tc>
          <w:tcPr>
            <w:tcW w:w="7562" w:type="dxa"/>
            <w:shd w:val="clear" w:color="auto" w:fill="BFBFBF"/>
          </w:tcPr>
          <w:p w:rsidR="00D47C66" w:rsidRPr="00C31FB1" w:rsidRDefault="00D47C66" w:rsidP="00D47C66">
            <w:pPr>
              <w:autoSpaceDE w:val="0"/>
              <w:autoSpaceDN w:val="0"/>
              <w:adjustRightInd w:val="0"/>
              <w:ind w:firstLine="708"/>
              <w:jc w:val="both"/>
              <w:rPr>
                <w:rFonts w:ascii="Times New Roman" w:eastAsia="Times New Roman" w:hAnsi="Times New Roman" w:cs="Times New Roman"/>
                <w:b/>
                <w:color w:val="000000"/>
                <w:sz w:val="24"/>
                <w:szCs w:val="24"/>
                <w:lang w:val="ru-RU"/>
              </w:rPr>
            </w:pPr>
            <w:r w:rsidRPr="006431FF">
              <w:rPr>
                <w:rFonts w:ascii="Times New Roman" w:hAnsi="Times New Roman" w:cs="Times New Roman"/>
                <w:b/>
                <w:bCs/>
                <w:sz w:val="24"/>
                <w:szCs w:val="24"/>
              </w:rPr>
              <w:t>Оценка на риска</w:t>
            </w:r>
          </w:p>
        </w:tc>
        <w:tc>
          <w:tcPr>
            <w:tcW w:w="988" w:type="dxa"/>
            <w:shd w:val="clear" w:color="auto" w:fill="BFBFBF"/>
          </w:tcPr>
          <w:p w:rsidR="00D47C66" w:rsidRPr="00C31FB1" w:rsidRDefault="00D47C66" w:rsidP="00C751BE">
            <w:pPr>
              <w:spacing w:after="0" w:line="240" w:lineRule="auto"/>
              <w:jc w:val="center"/>
              <w:rPr>
                <w:rFonts w:ascii="Times New Roman" w:eastAsia="Times New Roman" w:hAnsi="Times New Roman" w:cs="Times New Roman"/>
                <w:color w:val="000000"/>
                <w:sz w:val="24"/>
                <w:szCs w:val="24"/>
              </w:rPr>
            </w:pPr>
            <w:r w:rsidRPr="00C31FB1">
              <w:rPr>
                <w:rFonts w:ascii="Times New Roman" w:eastAsia="Times New Roman" w:hAnsi="Times New Roman" w:cs="Times New Roman"/>
                <w:b/>
                <w:bCs/>
                <w:color w:val="000000"/>
                <w:sz w:val="24"/>
                <w:szCs w:val="24"/>
              </w:rPr>
              <w:t xml:space="preserve">Макс. </w:t>
            </w:r>
            <w:r w:rsidRPr="006431FF">
              <w:rPr>
                <w:rFonts w:ascii="Times New Roman" w:eastAsia="Times New Roman" w:hAnsi="Times New Roman" w:cs="Times New Roman"/>
                <w:b/>
                <w:bCs/>
                <w:color w:val="000000"/>
                <w:sz w:val="24"/>
                <w:szCs w:val="24"/>
              </w:rPr>
              <w:t>100</w:t>
            </w:r>
          </w:p>
        </w:tc>
      </w:tr>
      <w:tr w:rsidR="00D47C66" w:rsidRPr="00C31FB1" w:rsidTr="00C751BE">
        <w:tc>
          <w:tcPr>
            <w:tcW w:w="652" w:type="dxa"/>
          </w:tcPr>
          <w:p w:rsidR="00D47C66" w:rsidRPr="00C31FB1" w:rsidRDefault="00D47C66" w:rsidP="00C751BE">
            <w:pPr>
              <w:spacing w:after="0" w:line="240" w:lineRule="auto"/>
              <w:jc w:val="both"/>
              <w:rPr>
                <w:rFonts w:ascii="Times New Roman" w:eastAsia="Times New Roman" w:hAnsi="Times New Roman" w:cs="Times New Roman"/>
                <w:color w:val="000000"/>
                <w:sz w:val="24"/>
                <w:szCs w:val="24"/>
              </w:rPr>
            </w:pPr>
          </w:p>
        </w:tc>
        <w:tc>
          <w:tcPr>
            <w:tcW w:w="7562" w:type="dxa"/>
          </w:tcPr>
          <w:p w:rsidR="00D47C66" w:rsidRPr="006431FF" w:rsidRDefault="00D47C66" w:rsidP="00C751BE">
            <w:pPr>
              <w:autoSpaceDE w:val="0"/>
              <w:autoSpaceDN w:val="0"/>
              <w:adjustRightInd w:val="0"/>
              <w:ind w:firstLine="708"/>
              <w:jc w:val="both"/>
              <w:rPr>
                <w:rFonts w:ascii="Times New Roman" w:hAnsi="Times New Roman" w:cs="Times New Roman"/>
                <w:bCs/>
                <w:sz w:val="24"/>
                <w:szCs w:val="24"/>
              </w:rPr>
            </w:pPr>
            <w:r w:rsidRPr="00C31FB1">
              <w:rPr>
                <w:rFonts w:ascii="Times New Roman" w:eastAsia="Batang" w:hAnsi="Times New Roman" w:cs="Times New Roman"/>
                <w:i/>
                <w:sz w:val="24"/>
                <w:szCs w:val="24"/>
              </w:rPr>
              <w:t xml:space="preserve">За техническото предложение важат  </w:t>
            </w:r>
            <w:r w:rsidRPr="006431FF">
              <w:rPr>
                <w:rFonts w:ascii="Times New Roman" w:eastAsia="Batang" w:hAnsi="Times New Roman" w:cs="Times New Roman"/>
                <w:i/>
                <w:sz w:val="24"/>
                <w:szCs w:val="24"/>
              </w:rPr>
              <w:t>всички</w:t>
            </w:r>
            <w:r w:rsidRPr="00C31FB1">
              <w:rPr>
                <w:rFonts w:ascii="Times New Roman" w:eastAsia="Batang" w:hAnsi="Times New Roman" w:cs="Times New Roman"/>
                <w:i/>
                <w:sz w:val="24"/>
                <w:szCs w:val="24"/>
              </w:rPr>
              <w:t xml:space="preserve"> твърдения:</w:t>
            </w:r>
            <w:r w:rsidRPr="006431FF">
              <w:rPr>
                <w:rFonts w:ascii="Times New Roman" w:hAnsi="Times New Roman" w:cs="Times New Roman"/>
                <w:bCs/>
                <w:sz w:val="24"/>
                <w:szCs w:val="24"/>
              </w:rPr>
              <w:t xml:space="preserve"> </w:t>
            </w:r>
          </w:p>
          <w:p w:rsidR="00D47C66" w:rsidRPr="006431FF" w:rsidRDefault="00D47C66" w:rsidP="00D47C66">
            <w:pPr>
              <w:autoSpaceDE w:val="0"/>
              <w:autoSpaceDN w:val="0"/>
              <w:adjustRightInd w:val="0"/>
              <w:ind w:firstLine="708"/>
              <w:jc w:val="both"/>
              <w:rPr>
                <w:rFonts w:ascii="Times New Roman" w:hAnsi="Times New Roman" w:cs="Times New Roman"/>
                <w:bCs/>
                <w:sz w:val="24"/>
                <w:szCs w:val="24"/>
              </w:rPr>
            </w:pPr>
            <w:r w:rsidRPr="006431FF">
              <w:rPr>
                <w:rFonts w:ascii="Times New Roman" w:hAnsi="Times New Roman" w:cs="Times New Roman"/>
                <w:bCs/>
                <w:sz w:val="24"/>
                <w:szCs w:val="24"/>
              </w:rPr>
              <w:t>- Участникът предлага детайлно и ясно описание и подробно обяснение на идентифицираните рискове</w:t>
            </w:r>
            <w:r w:rsidR="004334C3">
              <w:rPr>
                <w:rFonts w:ascii="Times New Roman" w:hAnsi="Times New Roman" w:cs="Times New Roman"/>
                <w:bCs/>
                <w:sz w:val="24"/>
                <w:szCs w:val="24"/>
              </w:rPr>
              <w:t>,</w:t>
            </w:r>
            <w:r w:rsidRPr="006431FF">
              <w:rPr>
                <w:rFonts w:ascii="Times New Roman" w:hAnsi="Times New Roman" w:cs="Times New Roman"/>
                <w:bCs/>
                <w:sz w:val="24"/>
                <w:szCs w:val="24"/>
              </w:rPr>
              <w:t xml:space="preserve"> които биха оказали влияние върху навременното и качествено изпълнение на договора; </w:t>
            </w:r>
          </w:p>
          <w:p w:rsidR="00D47C66" w:rsidRPr="006431FF" w:rsidRDefault="00D47C66" w:rsidP="00D47C66">
            <w:pPr>
              <w:autoSpaceDE w:val="0"/>
              <w:autoSpaceDN w:val="0"/>
              <w:adjustRightInd w:val="0"/>
              <w:ind w:firstLine="708"/>
              <w:jc w:val="both"/>
              <w:rPr>
                <w:rFonts w:ascii="Times New Roman" w:hAnsi="Times New Roman" w:cs="Times New Roman"/>
                <w:bCs/>
                <w:sz w:val="24"/>
                <w:szCs w:val="24"/>
              </w:rPr>
            </w:pPr>
            <w:r w:rsidRPr="006431FF">
              <w:rPr>
                <w:rFonts w:ascii="Times New Roman" w:hAnsi="Times New Roman" w:cs="Times New Roman"/>
                <w:bCs/>
                <w:sz w:val="24"/>
                <w:szCs w:val="24"/>
              </w:rPr>
              <w:t xml:space="preserve">- Участникът е посочил и разгледал подробно конкретни начин/и за преодоляване на рисковете или за тяхното минимизиране: </w:t>
            </w:r>
          </w:p>
          <w:p w:rsidR="00D47C66" w:rsidRPr="006431FF" w:rsidRDefault="00D47C66" w:rsidP="00D47C66">
            <w:pPr>
              <w:autoSpaceDE w:val="0"/>
              <w:autoSpaceDN w:val="0"/>
              <w:adjustRightInd w:val="0"/>
              <w:ind w:firstLine="708"/>
              <w:jc w:val="both"/>
              <w:rPr>
                <w:rFonts w:ascii="Times New Roman" w:hAnsi="Times New Roman" w:cs="Times New Roman"/>
                <w:bCs/>
                <w:sz w:val="24"/>
                <w:szCs w:val="24"/>
              </w:rPr>
            </w:pPr>
            <w:r w:rsidRPr="006431FF">
              <w:rPr>
                <w:rFonts w:ascii="Times New Roman" w:hAnsi="Times New Roman" w:cs="Times New Roman"/>
                <w:bCs/>
                <w:sz w:val="24"/>
                <w:szCs w:val="24"/>
              </w:rPr>
              <w:t xml:space="preserve">- Участникът е разработил подробна стратегия (адекватни мерки) за управление на рисковете. </w:t>
            </w:r>
          </w:p>
          <w:p w:rsidR="00D47C66" w:rsidRPr="006431FF" w:rsidRDefault="00D47C66" w:rsidP="00D47C66">
            <w:pPr>
              <w:autoSpaceDE w:val="0"/>
              <w:autoSpaceDN w:val="0"/>
              <w:adjustRightInd w:val="0"/>
              <w:ind w:firstLine="708"/>
              <w:jc w:val="both"/>
              <w:rPr>
                <w:rFonts w:ascii="Times New Roman" w:hAnsi="Times New Roman" w:cs="Times New Roman"/>
                <w:bCs/>
                <w:sz w:val="24"/>
                <w:szCs w:val="24"/>
              </w:rPr>
            </w:pPr>
            <w:r w:rsidRPr="006431FF">
              <w:rPr>
                <w:rFonts w:ascii="Times New Roman" w:hAnsi="Times New Roman" w:cs="Times New Roman"/>
                <w:bCs/>
                <w:sz w:val="24"/>
                <w:szCs w:val="24"/>
              </w:rPr>
              <w:cr/>
            </w:r>
          </w:p>
          <w:p w:rsidR="00D47C66" w:rsidRPr="006431FF" w:rsidRDefault="00D47C66" w:rsidP="00C751BE">
            <w:pPr>
              <w:spacing w:after="0" w:line="240" w:lineRule="auto"/>
              <w:jc w:val="both"/>
              <w:rPr>
                <w:rFonts w:ascii="Times New Roman" w:eastAsia="Batang" w:hAnsi="Times New Roman" w:cs="Times New Roman"/>
                <w:bCs/>
                <w:i/>
                <w:caps/>
                <w:sz w:val="24"/>
                <w:szCs w:val="24"/>
                <w:lang w:val="ru-RU"/>
              </w:rPr>
            </w:pPr>
          </w:p>
          <w:p w:rsidR="00D47C66" w:rsidRPr="00C31FB1" w:rsidRDefault="00D47C66" w:rsidP="00C751BE">
            <w:pPr>
              <w:tabs>
                <w:tab w:val="num" w:pos="855"/>
                <w:tab w:val="num" w:pos="935"/>
                <w:tab w:val="left" w:pos="4676"/>
              </w:tabs>
              <w:spacing w:after="0" w:line="240" w:lineRule="auto"/>
              <w:jc w:val="both"/>
              <w:outlineLvl w:val="1"/>
              <w:rPr>
                <w:rFonts w:ascii="Times New Roman" w:eastAsia="Batang" w:hAnsi="Times New Roman" w:cs="Times New Roman"/>
                <w:bCs/>
                <w:i/>
                <w:caps/>
                <w:sz w:val="24"/>
                <w:szCs w:val="24"/>
                <w:lang w:val="ru-RU"/>
              </w:rPr>
            </w:pPr>
          </w:p>
        </w:tc>
        <w:tc>
          <w:tcPr>
            <w:tcW w:w="988" w:type="dxa"/>
          </w:tcPr>
          <w:p w:rsidR="00D47C66" w:rsidRPr="00C31FB1" w:rsidRDefault="00D47C66" w:rsidP="00C751BE">
            <w:pPr>
              <w:spacing w:after="0" w:line="240" w:lineRule="auto"/>
              <w:jc w:val="center"/>
              <w:rPr>
                <w:rFonts w:ascii="Times New Roman" w:eastAsia="Times New Roman" w:hAnsi="Times New Roman" w:cs="Times New Roman"/>
                <w:color w:val="000000"/>
                <w:sz w:val="24"/>
                <w:szCs w:val="24"/>
              </w:rPr>
            </w:pPr>
            <w:r w:rsidRPr="006431FF">
              <w:rPr>
                <w:rFonts w:ascii="Times New Roman" w:eastAsia="Times New Roman" w:hAnsi="Times New Roman" w:cs="Times New Roman"/>
                <w:color w:val="000000"/>
                <w:sz w:val="24"/>
                <w:szCs w:val="24"/>
              </w:rPr>
              <w:t>100</w:t>
            </w:r>
          </w:p>
        </w:tc>
      </w:tr>
      <w:tr w:rsidR="00D47C66" w:rsidRPr="00C31FB1" w:rsidTr="00C751BE">
        <w:tc>
          <w:tcPr>
            <w:tcW w:w="652" w:type="dxa"/>
          </w:tcPr>
          <w:p w:rsidR="00D47C66" w:rsidRPr="00C31FB1" w:rsidRDefault="00D47C66" w:rsidP="00C751BE">
            <w:pPr>
              <w:spacing w:after="0" w:line="240" w:lineRule="auto"/>
              <w:jc w:val="both"/>
              <w:rPr>
                <w:rFonts w:ascii="Times New Roman" w:eastAsia="Times New Roman" w:hAnsi="Times New Roman" w:cs="Times New Roman"/>
                <w:color w:val="000000"/>
                <w:sz w:val="24"/>
                <w:szCs w:val="24"/>
              </w:rPr>
            </w:pPr>
          </w:p>
        </w:tc>
        <w:tc>
          <w:tcPr>
            <w:tcW w:w="7562" w:type="dxa"/>
          </w:tcPr>
          <w:p w:rsidR="00D47C66" w:rsidRPr="006431FF" w:rsidRDefault="00D47C66" w:rsidP="00C751BE">
            <w:pPr>
              <w:autoSpaceDE w:val="0"/>
              <w:autoSpaceDN w:val="0"/>
              <w:adjustRightInd w:val="0"/>
              <w:ind w:firstLine="708"/>
              <w:jc w:val="both"/>
              <w:rPr>
                <w:rFonts w:ascii="Times New Roman" w:hAnsi="Times New Roman" w:cs="Times New Roman"/>
                <w:bCs/>
                <w:sz w:val="24"/>
                <w:szCs w:val="24"/>
              </w:rPr>
            </w:pPr>
            <w:r w:rsidRPr="00C31FB1">
              <w:rPr>
                <w:rFonts w:ascii="Times New Roman" w:eastAsia="Batang" w:hAnsi="Times New Roman" w:cs="Times New Roman"/>
                <w:i/>
                <w:sz w:val="24"/>
                <w:szCs w:val="24"/>
              </w:rPr>
              <w:t xml:space="preserve">За техническото предложение важат  </w:t>
            </w:r>
            <w:r w:rsidR="00B14B93">
              <w:rPr>
                <w:rFonts w:ascii="Times New Roman" w:eastAsia="Batang" w:hAnsi="Times New Roman" w:cs="Times New Roman"/>
                <w:i/>
                <w:sz w:val="24"/>
                <w:szCs w:val="24"/>
              </w:rPr>
              <w:t>две</w:t>
            </w:r>
            <w:r w:rsidRPr="006431FF">
              <w:rPr>
                <w:rFonts w:ascii="Times New Roman" w:eastAsia="Batang" w:hAnsi="Times New Roman" w:cs="Times New Roman"/>
                <w:i/>
                <w:sz w:val="24"/>
                <w:szCs w:val="24"/>
              </w:rPr>
              <w:t xml:space="preserve"> </w:t>
            </w:r>
            <w:r w:rsidRPr="00C31FB1">
              <w:rPr>
                <w:rFonts w:ascii="Times New Roman" w:eastAsia="Batang" w:hAnsi="Times New Roman" w:cs="Times New Roman"/>
                <w:i/>
                <w:sz w:val="24"/>
                <w:szCs w:val="24"/>
              </w:rPr>
              <w:t>от следните твърдения:</w:t>
            </w:r>
            <w:r w:rsidRPr="006431FF">
              <w:rPr>
                <w:rFonts w:ascii="Times New Roman" w:hAnsi="Times New Roman" w:cs="Times New Roman"/>
                <w:bCs/>
                <w:sz w:val="24"/>
                <w:szCs w:val="24"/>
              </w:rPr>
              <w:t xml:space="preserve"> </w:t>
            </w:r>
          </w:p>
          <w:p w:rsidR="00D47C66" w:rsidRPr="004334C3" w:rsidRDefault="004334C3" w:rsidP="00D47C66">
            <w:pPr>
              <w:autoSpaceDE w:val="0"/>
              <w:autoSpaceDN w:val="0"/>
              <w:adjustRightInd w:val="0"/>
              <w:ind w:firstLine="708"/>
              <w:jc w:val="both"/>
              <w:rPr>
                <w:rFonts w:ascii="Times New Roman" w:eastAsia="Batang" w:hAnsi="Times New Roman" w:cs="Times New Roman"/>
                <w:sz w:val="24"/>
                <w:szCs w:val="24"/>
              </w:rPr>
            </w:pPr>
            <w:r>
              <w:rPr>
                <w:rFonts w:ascii="Times New Roman" w:eastAsia="Batang" w:hAnsi="Times New Roman" w:cs="Times New Roman"/>
                <w:sz w:val="24"/>
                <w:szCs w:val="24"/>
              </w:rPr>
              <w:t xml:space="preserve">-  </w:t>
            </w:r>
            <w:r w:rsidR="00D47C66" w:rsidRPr="004334C3">
              <w:rPr>
                <w:rFonts w:ascii="Times New Roman" w:eastAsia="Batang" w:hAnsi="Times New Roman" w:cs="Times New Roman"/>
                <w:sz w:val="24"/>
                <w:szCs w:val="24"/>
              </w:rPr>
              <w:t xml:space="preserve">Участникът предлага детайлно и ясно описание и подробно обяснение на идентифицираните рискове които биха оказали влияние върху навременното и качествено изпълнение на договора: </w:t>
            </w:r>
          </w:p>
          <w:p w:rsidR="00D47C66" w:rsidRPr="004334C3" w:rsidRDefault="00D47C66" w:rsidP="00D47C66">
            <w:pPr>
              <w:autoSpaceDE w:val="0"/>
              <w:autoSpaceDN w:val="0"/>
              <w:adjustRightInd w:val="0"/>
              <w:ind w:firstLine="708"/>
              <w:jc w:val="both"/>
              <w:rPr>
                <w:rFonts w:ascii="Times New Roman" w:eastAsia="Batang" w:hAnsi="Times New Roman" w:cs="Times New Roman"/>
                <w:sz w:val="24"/>
                <w:szCs w:val="24"/>
              </w:rPr>
            </w:pPr>
            <w:r w:rsidRPr="004334C3">
              <w:rPr>
                <w:rFonts w:ascii="Times New Roman" w:eastAsia="Batang" w:hAnsi="Times New Roman" w:cs="Times New Roman"/>
                <w:sz w:val="24"/>
                <w:szCs w:val="24"/>
              </w:rPr>
              <w:t xml:space="preserve">- Участникът е посочил и разгледал подробно конкретни начин/и за преодоляване на рисковете или за тяхното минимизиране; </w:t>
            </w:r>
          </w:p>
          <w:p w:rsidR="00D47C66" w:rsidRPr="004334C3" w:rsidRDefault="00D47C66" w:rsidP="00D47C66">
            <w:pPr>
              <w:autoSpaceDE w:val="0"/>
              <w:autoSpaceDN w:val="0"/>
              <w:adjustRightInd w:val="0"/>
              <w:ind w:firstLine="708"/>
              <w:jc w:val="both"/>
              <w:rPr>
                <w:rFonts w:ascii="Times New Roman" w:eastAsia="Batang" w:hAnsi="Times New Roman" w:cs="Times New Roman"/>
                <w:sz w:val="24"/>
                <w:szCs w:val="24"/>
              </w:rPr>
            </w:pPr>
            <w:r w:rsidRPr="004334C3">
              <w:rPr>
                <w:rFonts w:ascii="Times New Roman" w:eastAsia="Batang" w:hAnsi="Times New Roman" w:cs="Times New Roman"/>
                <w:sz w:val="24"/>
                <w:szCs w:val="24"/>
              </w:rPr>
              <w:t xml:space="preserve">- Участникът е разработил подробна стратегия (адекватни мерки) за управление на рисковете. </w:t>
            </w:r>
          </w:p>
          <w:p w:rsidR="00D47C66" w:rsidRPr="00C31FB1" w:rsidRDefault="00D47C66" w:rsidP="00B14B93">
            <w:pPr>
              <w:autoSpaceDE w:val="0"/>
              <w:autoSpaceDN w:val="0"/>
              <w:adjustRightInd w:val="0"/>
              <w:ind w:firstLine="708"/>
              <w:jc w:val="both"/>
              <w:rPr>
                <w:rFonts w:ascii="Times New Roman" w:eastAsia="Batang" w:hAnsi="Times New Roman" w:cs="Times New Roman"/>
                <w:i/>
                <w:sz w:val="24"/>
                <w:szCs w:val="24"/>
                <w:lang w:val="ru-RU"/>
              </w:rPr>
            </w:pPr>
          </w:p>
        </w:tc>
        <w:tc>
          <w:tcPr>
            <w:tcW w:w="988" w:type="dxa"/>
          </w:tcPr>
          <w:p w:rsidR="00D47C66" w:rsidRPr="00C31FB1" w:rsidRDefault="00D47C66" w:rsidP="00C751BE">
            <w:pPr>
              <w:spacing w:after="0" w:line="240" w:lineRule="auto"/>
              <w:jc w:val="center"/>
              <w:rPr>
                <w:rFonts w:ascii="Times New Roman" w:eastAsia="Times New Roman" w:hAnsi="Times New Roman" w:cs="Times New Roman"/>
                <w:color w:val="000000"/>
                <w:sz w:val="24"/>
                <w:szCs w:val="24"/>
                <w:lang w:val="en-US"/>
              </w:rPr>
            </w:pPr>
          </w:p>
          <w:p w:rsidR="00D47C66" w:rsidRPr="00C31FB1" w:rsidRDefault="00D47C66" w:rsidP="00C751BE">
            <w:pPr>
              <w:spacing w:after="0" w:line="240" w:lineRule="auto"/>
              <w:jc w:val="center"/>
              <w:rPr>
                <w:rFonts w:ascii="Times New Roman" w:eastAsia="Times New Roman" w:hAnsi="Times New Roman" w:cs="Times New Roman"/>
                <w:color w:val="000000"/>
                <w:sz w:val="24"/>
                <w:szCs w:val="24"/>
                <w:lang w:val="en-US"/>
              </w:rPr>
            </w:pPr>
          </w:p>
          <w:p w:rsidR="00D47C66" w:rsidRPr="00C31FB1" w:rsidRDefault="00B14B93" w:rsidP="00B14B93">
            <w:pPr>
              <w:spacing w:after="0" w:line="240" w:lineRule="auto"/>
              <w:jc w:val="center"/>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rPr>
              <w:t>6</w:t>
            </w:r>
            <w:r w:rsidR="00D47C66" w:rsidRPr="00C31FB1">
              <w:rPr>
                <w:rFonts w:ascii="Times New Roman" w:eastAsia="Times New Roman" w:hAnsi="Times New Roman" w:cs="Times New Roman"/>
                <w:color w:val="000000"/>
                <w:sz w:val="24"/>
                <w:szCs w:val="24"/>
                <w:lang w:val="en-US"/>
              </w:rPr>
              <w:t>5</w:t>
            </w:r>
          </w:p>
        </w:tc>
      </w:tr>
      <w:tr w:rsidR="00D47C66" w:rsidRPr="00C31FB1" w:rsidTr="00C751BE">
        <w:tc>
          <w:tcPr>
            <w:tcW w:w="652" w:type="dxa"/>
          </w:tcPr>
          <w:p w:rsidR="00D47C66" w:rsidRPr="00C31FB1" w:rsidRDefault="00D47C66" w:rsidP="00C751BE">
            <w:pPr>
              <w:spacing w:after="0" w:line="240" w:lineRule="auto"/>
              <w:jc w:val="both"/>
              <w:rPr>
                <w:rFonts w:ascii="Times New Roman" w:eastAsia="Times New Roman" w:hAnsi="Times New Roman" w:cs="Times New Roman"/>
                <w:color w:val="000000"/>
                <w:sz w:val="24"/>
                <w:szCs w:val="24"/>
              </w:rPr>
            </w:pPr>
          </w:p>
        </w:tc>
        <w:tc>
          <w:tcPr>
            <w:tcW w:w="7562" w:type="dxa"/>
          </w:tcPr>
          <w:p w:rsidR="00D47C66" w:rsidRPr="006431FF" w:rsidRDefault="00D47C66" w:rsidP="00D47C66">
            <w:pPr>
              <w:autoSpaceDE w:val="0"/>
              <w:autoSpaceDN w:val="0"/>
              <w:adjustRightInd w:val="0"/>
              <w:ind w:firstLine="708"/>
              <w:jc w:val="both"/>
              <w:rPr>
                <w:rFonts w:ascii="Times New Roman" w:hAnsi="Times New Roman" w:cs="Times New Roman"/>
                <w:bCs/>
                <w:sz w:val="24"/>
                <w:szCs w:val="24"/>
              </w:rPr>
            </w:pPr>
            <w:r w:rsidRPr="00C31FB1">
              <w:rPr>
                <w:rFonts w:ascii="Times New Roman" w:eastAsia="Batang" w:hAnsi="Times New Roman" w:cs="Times New Roman"/>
                <w:i/>
                <w:sz w:val="24"/>
                <w:szCs w:val="24"/>
              </w:rPr>
              <w:t xml:space="preserve">За техническото предложение важат само </w:t>
            </w:r>
            <w:r w:rsidR="00B14B93">
              <w:rPr>
                <w:rFonts w:ascii="Times New Roman" w:eastAsia="Batang" w:hAnsi="Times New Roman" w:cs="Times New Roman"/>
                <w:i/>
                <w:sz w:val="24"/>
                <w:szCs w:val="24"/>
              </w:rPr>
              <w:t>едно</w:t>
            </w:r>
            <w:r w:rsidRPr="00C31FB1">
              <w:rPr>
                <w:rFonts w:ascii="Times New Roman" w:eastAsia="Batang" w:hAnsi="Times New Roman" w:cs="Times New Roman"/>
                <w:i/>
                <w:sz w:val="24"/>
                <w:szCs w:val="24"/>
              </w:rPr>
              <w:t xml:space="preserve"> от следните твърдения:</w:t>
            </w:r>
            <w:r w:rsidRPr="006431FF">
              <w:rPr>
                <w:rFonts w:ascii="Times New Roman" w:hAnsi="Times New Roman" w:cs="Times New Roman"/>
                <w:bCs/>
                <w:sz w:val="24"/>
                <w:szCs w:val="24"/>
              </w:rPr>
              <w:t xml:space="preserve"> </w:t>
            </w:r>
          </w:p>
          <w:p w:rsidR="00D47C66" w:rsidRPr="006431FF" w:rsidRDefault="004334C3" w:rsidP="00D47C66">
            <w:pPr>
              <w:autoSpaceDE w:val="0"/>
              <w:autoSpaceDN w:val="0"/>
              <w:adjustRightInd w:val="0"/>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 </w:t>
            </w:r>
            <w:r w:rsidR="00D47C66" w:rsidRPr="006431FF">
              <w:rPr>
                <w:rFonts w:ascii="Times New Roman" w:hAnsi="Times New Roman" w:cs="Times New Roman"/>
                <w:bCs/>
                <w:sz w:val="24"/>
                <w:szCs w:val="24"/>
              </w:rPr>
              <w:t xml:space="preserve">Участникът предлага детайлно и ясно описание и подробно обяснение на идентифицираните рискове които биха оказали влияние върху навременното и качествено изпълнение на договора; </w:t>
            </w:r>
          </w:p>
          <w:p w:rsidR="00D47C66" w:rsidRPr="006431FF" w:rsidRDefault="00D47C66" w:rsidP="00D47C66">
            <w:pPr>
              <w:autoSpaceDE w:val="0"/>
              <w:autoSpaceDN w:val="0"/>
              <w:adjustRightInd w:val="0"/>
              <w:ind w:firstLine="708"/>
              <w:jc w:val="both"/>
              <w:rPr>
                <w:rFonts w:ascii="Times New Roman" w:hAnsi="Times New Roman" w:cs="Times New Roman"/>
                <w:bCs/>
                <w:sz w:val="24"/>
                <w:szCs w:val="24"/>
              </w:rPr>
            </w:pPr>
            <w:r w:rsidRPr="006431FF">
              <w:rPr>
                <w:rFonts w:ascii="Times New Roman" w:hAnsi="Times New Roman" w:cs="Times New Roman"/>
                <w:bCs/>
                <w:sz w:val="24"/>
                <w:szCs w:val="24"/>
              </w:rPr>
              <w:t xml:space="preserve">- Участникът е посочил и разгледал подробно конкретни начин/и за преодоляване на рисковсте или за тяхното минимизиране; </w:t>
            </w:r>
          </w:p>
          <w:p w:rsidR="00D47C66" w:rsidRPr="006431FF" w:rsidRDefault="00D47C66" w:rsidP="00D47C66">
            <w:pPr>
              <w:autoSpaceDE w:val="0"/>
              <w:autoSpaceDN w:val="0"/>
              <w:adjustRightInd w:val="0"/>
              <w:ind w:firstLine="708"/>
              <w:jc w:val="both"/>
              <w:rPr>
                <w:rFonts w:ascii="Times New Roman" w:hAnsi="Times New Roman" w:cs="Times New Roman"/>
                <w:bCs/>
                <w:sz w:val="24"/>
                <w:szCs w:val="24"/>
              </w:rPr>
            </w:pPr>
            <w:r w:rsidRPr="006431FF">
              <w:rPr>
                <w:rFonts w:ascii="Times New Roman" w:hAnsi="Times New Roman" w:cs="Times New Roman"/>
                <w:bCs/>
                <w:sz w:val="24"/>
                <w:szCs w:val="24"/>
              </w:rPr>
              <w:t xml:space="preserve">- Участникът е разработил подробна стратегия (адекватни мерки) за управление на рисковете. </w:t>
            </w:r>
          </w:p>
          <w:p w:rsidR="00D47C66" w:rsidRPr="00C31FB1" w:rsidRDefault="00D47C66" w:rsidP="00C751BE">
            <w:pPr>
              <w:spacing w:after="0" w:line="240" w:lineRule="auto"/>
              <w:jc w:val="both"/>
              <w:rPr>
                <w:rFonts w:ascii="Times New Roman" w:eastAsia="Batang" w:hAnsi="Times New Roman" w:cs="Times New Roman"/>
                <w:i/>
                <w:sz w:val="24"/>
                <w:szCs w:val="24"/>
                <w:lang w:val="ru-RU"/>
              </w:rPr>
            </w:pPr>
            <w:r w:rsidRPr="00C31FB1">
              <w:rPr>
                <w:rFonts w:ascii="Times New Roman" w:eastAsia="Batang" w:hAnsi="Times New Roman" w:cs="Times New Roman"/>
                <w:bCs/>
                <w:i/>
                <w:sz w:val="24"/>
                <w:szCs w:val="24"/>
                <w:lang w:val="ru-RU"/>
              </w:rPr>
              <w:t xml:space="preserve">    </w:t>
            </w:r>
          </w:p>
        </w:tc>
        <w:tc>
          <w:tcPr>
            <w:tcW w:w="988" w:type="dxa"/>
          </w:tcPr>
          <w:p w:rsidR="00D47C66" w:rsidRPr="00C31FB1" w:rsidRDefault="00B14B93" w:rsidP="00B14B9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D47C66" w:rsidRPr="006431FF">
              <w:rPr>
                <w:rFonts w:ascii="Times New Roman" w:eastAsia="Times New Roman" w:hAnsi="Times New Roman" w:cs="Times New Roman"/>
                <w:color w:val="000000"/>
                <w:sz w:val="24"/>
                <w:szCs w:val="24"/>
              </w:rPr>
              <w:t>5</w:t>
            </w:r>
          </w:p>
        </w:tc>
      </w:tr>
    </w:tbl>
    <w:p w:rsidR="00B86454" w:rsidRPr="006431FF" w:rsidRDefault="00B86454" w:rsidP="004A517B">
      <w:pPr>
        <w:autoSpaceDE w:val="0"/>
        <w:autoSpaceDN w:val="0"/>
        <w:adjustRightInd w:val="0"/>
        <w:ind w:firstLine="708"/>
        <w:jc w:val="both"/>
        <w:rPr>
          <w:rFonts w:ascii="Times New Roman" w:hAnsi="Times New Roman" w:cs="Times New Roman"/>
          <w:bCs/>
          <w:sz w:val="24"/>
          <w:szCs w:val="24"/>
        </w:rPr>
      </w:pPr>
    </w:p>
    <w:p w:rsidR="00B86454" w:rsidRPr="006431FF" w:rsidRDefault="00B86454" w:rsidP="004A517B">
      <w:pPr>
        <w:autoSpaceDE w:val="0"/>
        <w:autoSpaceDN w:val="0"/>
        <w:adjustRightInd w:val="0"/>
        <w:ind w:firstLine="708"/>
        <w:jc w:val="both"/>
        <w:rPr>
          <w:rFonts w:ascii="Times New Roman" w:hAnsi="Times New Roman" w:cs="Times New Roman"/>
          <w:bCs/>
          <w:sz w:val="24"/>
          <w:szCs w:val="24"/>
        </w:rPr>
      </w:pPr>
    </w:p>
    <w:p w:rsidR="004A517B" w:rsidRPr="006431FF" w:rsidRDefault="004A517B" w:rsidP="004A517B">
      <w:pPr>
        <w:autoSpaceDE w:val="0"/>
        <w:autoSpaceDN w:val="0"/>
        <w:adjustRightInd w:val="0"/>
        <w:ind w:firstLine="708"/>
        <w:jc w:val="both"/>
        <w:rPr>
          <w:rFonts w:ascii="Times New Roman" w:hAnsi="Times New Roman" w:cs="Times New Roman"/>
          <w:bCs/>
          <w:sz w:val="24"/>
          <w:szCs w:val="24"/>
        </w:rPr>
      </w:pPr>
      <w:r w:rsidRPr="006431FF">
        <w:rPr>
          <w:rFonts w:ascii="Times New Roman" w:hAnsi="Times New Roman" w:cs="Times New Roman"/>
          <w:bCs/>
          <w:sz w:val="24"/>
          <w:szCs w:val="24"/>
        </w:rPr>
        <w:t>За целите на методиката за оценка на офертите, в съответствие с чл. 28, ал. 2 от</w:t>
      </w:r>
      <w:r w:rsidR="004334C3">
        <w:rPr>
          <w:rFonts w:ascii="Times New Roman" w:hAnsi="Times New Roman" w:cs="Times New Roman"/>
          <w:bCs/>
          <w:sz w:val="24"/>
          <w:szCs w:val="24"/>
        </w:rPr>
        <w:t xml:space="preserve"> </w:t>
      </w:r>
      <w:r w:rsidRPr="006431FF">
        <w:rPr>
          <w:rFonts w:ascii="Times New Roman" w:hAnsi="Times New Roman" w:cs="Times New Roman"/>
          <w:bCs/>
          <w:sz w:val="24"/>
          <w:szCs w:val="24"/>
        </w:rPr>
        <w:t>30</w:t>
      </w:r>
      <w:r w:rsidR="004334C3">
        <w:rPr>
          <w:rFonts w:ascii="Times New Roman" w:hAnsi="Times New Roman" w:cs="Times New Roman"/>
          <w:bCs/>
          <w:sz w:val="24"/>
          <w:szCs w:val="24"/>
        </w:rPr>
        <w:t xml:space="preserve">П </w:t>
      </w:r>
      <w:r w:rsidRPr="006431FF">
        <w:rPr>
          <w:rFonts w:ascii="Times New Roman" w:hAnsi="Times New Roman" w:cs="Times New Roman"/>
          <w:bCs/>
          <w:sz w:val="24"/>
          <w:szCs w:val="24"/>
        </w:rPr>
        <w:t xml:space="preserve"> използваните в предложената таблица за оценка определения /понятия/ са изрично дефинирани по-долу: </w:t>
      </w:r>
    </w:p>
    <w:p w:rsidR="004A517B" w:rsidRPr="006431FF" w:rsidRDefault="004A517B" w:rsidP="004A517B">
      <w:pPr>
        <w:autoSpaceDE w:val="0"/>
        <w:autoSpaceDN w:val="0"/>
        <w:adjustRightInd w:val="0"/>
        <w:ind w:firstLine="708"/>
        <w:jc w:val="both"/>
        <w:rPr>
          <w:rFonts w:ascii="Times New Roman" w:hAnsi="Times New Roman" w:cs="Times New Roman"/>
          <w:bCs/>
          <w:sz w:val="24"/>
          <w:szCs w:val="24"/>
        </w:rPr>
      </w:pPr>
      <w:r w:rsidRPr="006431FF">
        <w:rPr>
          <w:rFonts w:ascii="Times New Roman" w:hAnsi="Times New Roman" w:cs="Times New Roman"/>
          <w:bCs/>
          <w:sz w:val="24"/>
          <w:szCs w:val="24"/>
        </w:rPr>
        <w:t xml:space="preserve">* „Ясно" - следва да се разбира описание, което недвусмислено характеризира конкретния етап или конкретния вид дейност по начин, по който съшият да бъде индивидуализиран сред останалите предвидени етапи/съответно останалите предвидени видове дейности; </w:t>
      </w:r>
    </w:p>
    <w:p w:rsidR="004A517B" w:rsidRPr="006431FF" w:rsidRDefault="004A517B" w:rsidP="004A517B">
      <w:pPr>
        <w:autoSpaceDE w:val="0"/>
        <w:autoSpaceDN w:val="0"/>
        <w:adjustRightInd w:val="0"/>
        <w:ind w:firstLine="708"/>
        <w:jc w:val="both"/>
        <w:rPr>
          <w:rFonts w:ascii="Times New Roman" w:hAnsi="Times New Roman" w:cs="Times New Roman"/>
          <w:bCs/>
          <w:sz w:val="24"/>
          <w:szCs w:val="24"/>
        </w:rPr>
      </w:pPr>
      <w:r w:rsidRPr="006431FF">
        <w:rPr>
          <w:rFonts w:ascii="Times New Roman" w:hAnsi="Times New Roman" w:cs="Times New Roman"/>
          <w:bCs/>
          <w:sz w:val="24"/>
          <w:szCs w:val="24"/>
        </w:rPr>
        <w:t xml:space="preserve">** „Подробно/Детайлно" - описанието, което освен че съдържа отделни етапи ивидове дейности, не се ограничава единствено до тяхното просто изброяване, а са добавени допълнителни поясняващи текстове, свързани с обясняване на последователността, съдържанието на отделните документи или други факти, имащи отношение към повишаване качеството на изпълнение на поръчката и надграждане над предвидените технически спецификации и изисквания: </w:t>
      </w:r>
    </w:p>
    <w:p w:rsidR="004A517B" w:rsidRPr="004334C3" w:rsidRDefault="004A517B" w:rsidP="004A517B">
      <w:pPr>
        <w:autoSpaceDE w:val="0"/>
        <w:autoSpaceDN w:val="0"/>
        <w:adjustRightInd w:val="0"/>
        <w:ind w:firstLine="708"/>
        <w:jc w:val="both"/>
        <w:rPr>
          <w:rFonts w:ascii="Times New Roman" w:hAnsi="Times New Roman" w:cs="Times New Roman"/>
          <w:b/>
          <w:bCs/>
          <w:sz w:val="24"/>
          <w:szCs w:val="24"/>
        </w:rPr>
      </w:pPr>
      <w:r w:rsidRPr="004334C3">
        <w:rPr>
          <w:rFonts w:ascii="Times New Roman" w:hAnsi="Times New Roman" w:cs="Times New Roman"/>
          <w:b/>
          <w:bCs/>
          <w:sz w:val="24"/>
          <w:szCs w:val="24"/>
        </w:rPr>
        <w:t xml:space="preserve">5. Комплексната оценка на участника се изчислява по следната формула: </w:t>
      </w:r>
    </w:p>
    <w:p w:rsidR="004A517B" w:rsidRPr="004334C3" w:rsidRDefault="004A517B" w:rsidP="004A517B">
      <w:pPr>
        <w:autoSpaceDE w:val="0"/>
        <w:autoSpaceDN w:val="0"/>
        <w:adjustRightInd w:val="0"/>
        <w:ind w:firstLine="708"/>
        <w:jc w:val="both"/>
        <w:rPr>
          <w:rFonts w:ascii="Times New Roman" w:hAnsi="Times New Roman" w:cs="Times New Roman"/>
          <w:b/>
          <w:bCs/>
          <w:sz w:val="24"/>
          <w:szCs w:val="24"/>
        </w:rPr>
      </w:pPr>
      <w:r w:rsidRPr="004334C3">
        <w:rPr>
          <w:rFonts w:ascii="Times New Roman" w:hAnsi="Times New Roman" w:cs="Times New Roman"/>
          <w:b/>
          <w:bCs/>
          <w:sz w:val="24"/>
          <w:szCs w:val="24"/>
        </w:rPr>
        <w:t>КО = 0,</w:t>
      </w:r>
      <w:r w:rsidR="00BA0435">
        <w:rPr>
          <w:rFonts w:ascii="Times New Roman" w:hAnsi="Times New Roman" w:cs="Times New Roman"/>
          <w:b/>
          <w:bCs/>
          <w:sz w:val="24"/>
          <w:szCs w:val="24"/>
        </w:rPr>
        <w:t>6</w:t>
      </w:r>
      <w:r w:rsidR="00D47C66" w:rsidRPr="004334C3">
        <w:rPr>
          <w:rFonts w:ascii="Times New Roman" w:hAnsi="Times New Roman" w:cs="Times New Roman"/>
          <w:b/>
          <w:bCs/>
          <w:sz w:val="24"/>
          <w:szCs w:val="24"/>
        </w:rPr>
        <w:t>0</w:t>
      </w:r>
      <w:r w:rsidRPr="004334C3">
        <w:rPr>
          <w:rFonts w:ascii="Times New Roman" w:hAnsi="Times New Roman" w:cs="Times New Roman"/>
          <w:b/>
          <w:bCs/>
          <w:sz w:val="24"/>
          <w:szCs w:val="24"/>
        </w:rPr>
        <w:t xml:space="preserve"> х П1 + 0,</w:t>
      </w:r>
      <w:r w:rsidR="00D47C66" w:rsidRPr="004334C3">
        <w:rPr>
          <w:rFonts w:ascii="Times New Roman" w:hAnsi="Times New Roman" w:cs="Times New Roman"/>
          <w:b/>
          <w:bCs/>
          <w:sz w:val="24"/>
          <w:szCs w:val="24"/>
        </w:rPr>
        <w:t>20</w:t>
      </w:r>
      <w:r w:rsidRPr="004334C3">
        <w:rPr>
          <w:rFonts w:ascii="Times New Roman" w:hAnsi="Times New Roman" w:cs="Times New Roman"/>
          <w:b/>
          <w:bCs/>
          <w:sz w:val="24"/>
          <w:szCs w:val="24"/>
        </w:rPr>
        <w:t xml:space="preserve"> х П2 + 0,20 х ПЗ</w:t>
      </w:r>
    </w:p>
    <w:p w:rsidR="004A517B" w:rsidRPr="006431FF" w:rsidRDefault="004A517B" w:rsidP="004A517B">
      <w:pPr>
        <w:autoSpaceDE w:val="0"/>
        <w:autoSpaceDN w:val="0"/>
        <w:adjustRightInd w:val="0"/>
        <w:ind w:firstLine="708"/>
        <w:jc w:val="both"/>
        <w:rPr>
          <w:rFonts w:ascii="Times New Roman" w:hAnsi="Times New Roman" w:cs="Times New Roman"/>
          <w:bCs/>
          <w:sz w:val="24"/>
          <w:szCs w:val="24"/>
        </w:rPr>
      </w:pPr>
      <w:r w:rsidRPr="006431FF">
        <w:rPr>
          <w:rFonts w:ascii="Times New Roman" w:hAnsi="Times New Roman" w:cs="Times New Roman"/>
          <w:bCs/>
          <w:sz w:val="24"/>
          <w:szCs w:val="24"/>
        </w:rPr>
        <w:t xml:space="preserve">КО се закръглява до втория знак след десетичната запетая. </w:t>
      </w:r>
    </w:p>
    <w:p w:rsidR="004A517B" w:rsidRPr="006431FF" w:rsidRDefault="004A517B" w:rsidP="004A517B">
      <w:pPr>
        <w:autoSpaceDE w:val="0"/>
        <w:autoSpaceDN w:val="0"/>
        <w:adjustRightInd w:val="0"/>
        <w:ind w:firstLine="708"/>
        <w:jc w:val="both"/>
        <w:rPr>
          <w:rFonts w:ascii="Times New Roman" w:hAnsi="Times New Roman" w:cs="Times New Roman"/>
          <w:bCs/>
          <w:sz w:val="24"/>
          <w:szCs w:val="24"/>
        </w:rPr>
      </w:pPr>
      <w:r w:rsidRPr="006431FF">
        <w:rPr>
          <w:rFonts w:ascii="Times New Roman" w:hAnsi="Times New Roman" w:cs="Times New Roman"/>
          <w:bCs/>
          <w:sz w:val="24"/>
          <w:szCs w:val="24"/>
        </w:rPr>
        <w:t xml:space="preserve">Максималната стойност на общата оценка КО е 100. </w:t>
      </w:r>
    </w:p>
    <w:p w:rsidR="00D35B2C" w:rsidRPr="006431FF" w:rsidRDefault="004A517B" w:rsidP="00D47C66">
      <w:pPr>
        <w:autoSpaceDE w:val="0"/>
        <w:autoSpaceDN w:val="0"/>
        <w:adjustRightInd w:val="0"/>
        <w:ind w:firstLine="708"/>
        <w:jc w:val="both"/>
        <w:rPr>
          <w:rFonts w:ascii="Times New Roman" w:hAnsi="Times New Roman" w:cs="Times New Roman"/>
          <w:i/>
          <w:sz w:val="24"/>
          <w:szCs w:val="24"/>
        </w:rPr>
      </w:pPr>
      <w:r w:rsidRPr="004334C3">
        <w:rPr>
          <w:rFonts w:ascii="Times New Roman" w:hAnsi="Times New Roman" w:cs="Times New Roman"/>
          <w:b/>
          <w:bCs/>
          <w:sz w:val="24"/>
          <w:szCs w:val="24"/>
        </w:rPr>
        <w:t>6.</w:t>
      </w:r>
      <w:r w:rsidRPr="006431FF">
        <w:rPr>
          <w:rFonts w:ascii="Times New Roman" w:hAnsi="Times New Roman" w:cs="Times New Roman"/>
          <w:bCs/>
          <w:sz w:val="24"/>
          <w:szCs w:val="24"/>
        </w:rPr>
        <w:t xml:space="preserve"> Офертата, </w:t>
      </w:r>
      <w:bookmarkStart w:id="0" w:name="_GoBack"/>
      <w:bookmarkEnd w:id="0"/>
      <w:r w:rsidRPr="006431FF">
        <w:rPr>
          <w:rFonts w:ascii="Times New Roman" w:hAnsi="Times New Roman" w:cs="Times New Roman"/>
          <w:bCs/>
          <w:sz w:val="24"/>
          <w:szCs w:val="24"/>
        </w:rPr>
        <w:t xml:space="preserve">получила най-висока комплексна оценка, се класира на първо място по съответната обособена позиция, а останалите оферти - в низходящ ред </w:t>
      </w:r>
    </w:p>
    <w:p w:rsidR="001A71BD" w:rsidRPr="006431FF" w:rsidRDefault="001A71BD">
      <w:pPr>
        <w:rPr>
          <w:rFonts w:ascii="Times New Roman" w:hAnsi="Times New Roman" w:cs="Times New Roman"/>
          <w:sz w:val="24"/>
          <w:szCs w:val="24"/>
        </w:rPr>
      </w:pPr>
    </w:p>
    <w:sectPr w:rsidR="001A71BD" w:rsidRPr="006431F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271B" w:rsidRDefault="002E271B" w:rsidP="006431FF">
      <w:pPr>
        <w:spacing w:after="0" w:line="240" w:lineRule="auto"/>
      </w:pPr>
      <w:r>
        <w:separator/>
      </w:r>
    </w:p>
  </w:endnote>
  <w:endnote w:type="continuationSeparator" w:id="0">
    <w:p w:rsidR="002E271B" w:rsidRDefault="002E271B" w:rsidP="006431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271B" w:rsidRDefault="002E271B" w:rsidP="006431FF">
      <w:pPr>
        <w:spacing w:after="0" w:line="240" w:lineRule="auto"/>
      </w:pPr>
      <w:r>
        <w:separator/>
      </w:r>
    </w:p>
  </w:footnote>
  <w:footnote w:type="continuationSeparator" w:id="0">
    <w:p w:rsidR="002E271B" w:rsidRDefault="002E271B" w:rsidP="006431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18"/>
      </v:shape>
    </w:pict>
  </w:numPicBullet>
  <w:abstractNum w:abstractNumId="0">
    <w:nsid w:val="07516DAD"/>
    <w:multiLevelType w:val="hybridMultilevel"/>
    <w:tmpl w:val="3B629F2E"/>
    <w:lvl w:ilvl="0" w:tplc="9E0262DE">
      <w:start w:val="1"/>
      <w:numFmt w:val="bullet"/>
      <w:lvlText w:val="-"/>
      <w:lvlJc w:val="left"/>
      <w:pPr>
        <w:tabs>
          <w:tab w:val="num" w:pos="540"/>
        </w:tabs>
        <w:ind w:left="540" w:hanging="360"/>
      </w:pPr>
      <w:rPr>
        <w:rFonts w:ascii="Times New Roman" w:eastAsia="MS Mincho" w:hAnsi="Times New Roman" w:cs="Times New Roman" w:hint="default"/>
      </w:rPr>
    </w:lvl>
    <w:lvl w:ilvl="1" w:tplc="04020003" w:tentative="1">
      <w:start w:val="1"/>
      <w:numFmt w:val="bullet"/>
      <w:lvlText w:val="o"/>
      <w:lvlJc w:val="left"/>
      <w:pPr>
        <w:tabs>
          <w:tab w:val="num" w:pos="1260"/>
        </w:tabs>
        <w:ind w:left="1260" w:hanging="360"/>
      </w:pPr>
      <w:rPr>
        <w:rFonts w:ascii="Courier New" w:hAnsi="Courier New" w:cs="Courier New" w:hint="default"/>
      </w:rPr>
    </w:lvl>
    <w:lvl w:ilvl="2" w:tplc="04020005" w:tentative="1">
      <w:start w:val="1"/>
      <w:numFmt w:val="bullet"/>
      <w:lvlText w:val=""/>
      <w:lvlJc w:val="left"/>
      <w:pPr>
        <w:tabs>
          <w:tab w:val="num" w:pos="1980"/>
        </w:tabs>
        <w:ind w:left="1980" w:hanging="360"/>
      </w:pPr>
      <w:rPr>
        <w:rFonts w:ascii="Wingdings" w:hAnsi="Wingdings" w:hint="default"/>
      </w:rPr>
    </w:lvl>
    <w:lvl w:ilvl="3" w:tplc="04020001" w:tentative="1">
      <w:start w:val="1"/>
      <w:numFmt w:val="bullet"/>
      <w:lvlText w:val=""/>
      <w:lvlJc w:val="left"/>
      <w:pPr>
        <w:tabs>
          <w:tab w:val="num" w:pos="2700"/>
        </w:tabs>
        <w:ind w:left="2700" w:hanging="360"/>
      </w:pPr>
      <w:rPr>
        <w:rFonts w:ascii="Symbol" w:hAnsi="Symbol" w:hint="default"/>
      </w:rPr>
    </w:lvl>
    <w:lvl w:ilvl="4" w:tplc="04020003" w:tentative="1">
      <w:start w:val="1"/>
      <w:numFmt w:val="bullet"/>
      <w:lvlText w:val="o"/>
      <w:lvlJc w:val="left"/>
      <w:pPr>
        <w:tabs>
          <w:tab w:val="num" w:pos="3420"/>
        </w:tabs>
        <w:ind w:left="3420" w:hanging="360"/>
      </w:pPr>
      <w:rPr>
        <w:rFonts w:ascii="Courier New" w:hAnsi="Courier New" w:cs="Courier New" w:hint="default"/>
      </w:rPr>
    </w:lvl>
    <w:lvl w:ilvl="5" w:tplc="04020005" w:tentative="1">
      <w:start w:val="1"/>
      <w:numFmt w:val="bullet"/>
      <w:lvlText w:val=""/>
      <w:lvlJc w:val="left"/>
      <w:pPr>
        <w:tabs>
          <w:tab w:val="num" w:pos="4140"/>
        </w:tabs>
        <w:ind w:left="4140" w:hanging="360"/>
      </w:pPr>
      <w:rPr>
        <w:rFonts w:ascii="Wingdings" w:hAnsi="Wingdings" w:hint="default"/>
      </w:rPr>
    </w:lvl>
    <w:lvl w:ilvl="6" w:tplc="04020001" w:tentative="1">
      <w:start w:val="1"/>
      <w:numFmt w:val="bullet"/>
      <w:lvlText w:val=""/>
      <w:lvlJc w:val="left"/>
      <w:pPr>
        <w:tabs>
          <w:tab w:val="num" w:pos="4860"/>
        </w:tabs>
        <w:ind w:left="4860" w:hanging="360"/>
      </w:pPr>
      <w:rPr>
        <w:rFonts w:ascii="Symbol" w:hAnsi="Symbol" w:hint="default"/>
      </w:rPr>
    </w:lvl>
    <w:lvl w:ilvl="7" w:tplc="04020003" w:tentative="1">
      <w:start w:val="1"/>
      <w:numFmt w:val="bullet"/>
      <w:lvlText w:val="o"/>
      <w:lvlJc w:val="left"/>
      <w:pPr>
        <w:tabs>
          <w:tab w:val="num" w:pos="5580"/>
        </w:tabs>
        <w:ind w:left="5580" w:hanging="360"/>
      </w:pPr>
      <w:rPr>
        <w:rFonts w:ascii="Courier New" w:hAnsi="Courier New" w:cs="Courier New" w:hint="default"/>
      </w:rPr>
    </w:lvl>
    <w:lvl w:ilvl="8" w:tplc="04020005" w:tentative="1">
      <w:start w:val="1"/>
      <w:numFmt w:val="bullet"/>
      <w:lvlText w:val=""/>
      <w:lvlJc w:val="left"/>
      <w:pPr>
        <w:tabs>
          <w:tab w:val="num" w:pos="6300"/>
        </w:tabs>
        <w:ind w:left="6300" w:hanging="360"/>
      </w:pPr>
      <w:rPr>
        <w:rFonts w:ascii="Wingdings" w:hAnsi="Wingdings" w:hint="default"/>
      </w:rPr>
    </w:lvl>
  </w:abstractNum>
  <w:abstractNum w:abstractNumId="1">
    <w:nsid w:val="388040F2"/>
    <w:multiLevelType w:val="hybridMultilevel"/>
    <w:tmpl w:val="93A80C1C"/>
    <w:lvl w:ilvl="0" w:tplc="04020007">
      <w:start w:val="1"/>
      <w:numFmt w:val="bullet"/>
      <w:lvlText w:val=""/>
      <w:lvlPicBulletId w:val="0"/>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2">
    <w:nsid w:val="396B7414"/>
    <w:multiLevelType w:val="hybridMultilevel"/>
    <w:tmpl w:val="72746732"/>
    <w:lvl w:ilvl="0" w:tplc="44B0A77A">
      <w:start w:val="1"/>
      <w:numFmt w:val="bullet"/>
      <w:lvlText w:val="-"/>
      <w:lvlJc w:val="left"/>
      <w:pPr>
        <w:ind w:left="1068" w:hanging="360"/>
      </w:pPr>
      <w:rPr>
        <w:rFonts w:ascii="Calibri" w:eastAsiaTheme="minorHAnsi" w:hAnsi="Calibri" w:cstheme="minorBidi"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3">
    <w:nsid w:val="563E4AE6"/>
    <w:multiLevelType w:val="hybridMultilevel"/>
    <w:tmpl w:val="B7BAD8D4"/>
    <w:lvl w:ilvl="0" w:tplc="04020005">
      <w:start w:val="1"/>
      <w:numFmt w:val="bullet"/>
      <w:lvlText w:val=""/>
      <w:lvlJc w:val="left"/>
      <w:pPr>
        <w:tabs>
          <w:tab w:val="num" w:pos="720"/>
        </w:tabs>
        <w:ind w:left="720" w:hanging="360"/>
      </w:pPr>
      <w:rPr>
        <w:rFonts w:ascii="Wingdings" w:hAnsi="Wingdings" w:hint="default"/>
      </w:rPr>
    </w:lvl>
    <w:lvl w:ilvl="1" w:tplc="04020007">
      <w:start w:val="1"/>
      <w:numFmt w:val="bullet"/>
      <w:lvlText w:val=""/>
      <w:lvlPicBulletId w:val="0"/>
      <w:lvlJc w:val="left"/>
      <w:pPr>
        <w:tabs>
          <w:tab w:val="num" w:pos="1440"/>
        </w:tabs>
        <w:ind w:left="1440" w:hanging="360"/>
      </w:pPr>
      <w:rPr>
        <w:rFonts w:ascii="Symbol" w:hAnsi="Symbol"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
    <w:nsid w:val="6FC0687E"/>
    <w:multiLevelType w:val="hybridMultilevel"/>
    <w:tmpl w:val="00D6765C"/>
    <w:lvl w:ilvl="0" w:tplc="2B968F4E">
      <w:start w:val="1"/>
      <w:numFmt w:val="bullet"/>
      <w:lvlText w:val=""/>
      <w:lvlPicBulletId w:val="0"/>
      <w:lvlJc w:val="left"/>
      <w:pPr>
        <w:tabs>
          <w:tab w:val="num" w:pos="720"/>
        </w:tabs>
        <w:ind w:left="720" w:hanging="360"/>
      </w:pPr>
      <w:rPr>
        <w:rFonts w:ascii="Symbol" w:hAnsi="Symbol" w:hint="default"/>
      </w:rPr>
    </w:lvl>
    <w:lvl w:ilvl="1" w:tplc="04090017"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
    <w:nsid w:val="72FF6E31"/>
    <w:multiLevelType w:val="hybridMultilevel"/>
    <w:tmpl w:val="311EC692"/>
    <w:lvl w:ilvl="0" w:tplc="04090001">
      <w:start w:val="1"/>
      <w:numFmt w:val="bullet"/>
      <w:lvlText w:val=""/>
      <w:lvlJc w:val="left"/>
      <w:pPr>
        <w:tabs>
          <w:tab w:val="num" w:pos="1800"/>
        </w:tabs>
        <w:ind w:left="1800" w:hanging="360"/>
      </w:pPr>
      <w:rPr>
        <w:rFonts w:ascii="Wingdings"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abstractNumId w:val="4"/>
  </w:num>
  <w:num w:numId="2">
    <w:abstractNumId w:val="5"/>
  </w:num>
  <w:num w:numId="3">
    <w:abstractNumId w:val="1"/>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B2C"/>
    <w:rsid w:val="000016A5"/>
    <w:rsid w:val="00085A20"/>
    <w:rsid w:val="00195CB9"/>
    <w:rsid w:val="001A71BD"/>
    <w:rsid w:val="001E57A5"/>
    <w:rsid w:val="002E271B"/>
    <w:rsid w:val="004334C3"/>
    <w:rsid w:val="004A517B"/>
    <w:rsid w:val="00501D1B"/>
    <w:rsid w:val="006431FF"/>
    <w:rsid w:val="00664882"/>
    <w:rsid w:val="00677516"/>
    <w:rsid w:val="006D5324"/>
    <w:rsid w:val="00813DB4"/>
    <w:rsid w:val="00854890"/>
    <w:rsid w:val="008D0F79"/>
    <w:rsid w:val="009C4A5F"/>
    <w:rsid w:val="00A37856"/>
    <w:rsid w:val="00AE65D5"/>
    <w:rsid w:val="00B14B93"/>
    <w:rsid w:val="00B202FD"/>
    <w:rsid w:val="00B86454"/>
    <w:rsid w:val="00BA0435"/>
    <w:rsid w:val="00BF32F5"/>
    <w:rsid w:val="00C31FB1"/>
    <w:rsid w:val="00C37F9A"/>
    <w:rsid w:val="00C43E50"/>
    <w:rsid w:val="00D35B2C"/>
    <w:rsid w:val="00D47C66"/>
    <w:rsid w:val="00F2417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417A"/>
    <w:pPr>
      <w:ind w:left="720"/>
      <w:contextualSpacing/>
    </w:pPr>
  </w:style>
  <w:style w:type="paragraph" w:styleId="Header">
    <w:name w:val="header"/>
    <w:basedOn w:val="Normal"/>
    <w:link w:val="HeaderChar"/>
    <w:uiPriority w:val="99"/>
    <w:unhideWhenUsed/>
    <w:rsid w:val="006431FF"/>
    <w:pPr>
      <w:tabs>
        <w:tab w:val="center" w:pos="4536"/>
        <w:tab w:val="right" w:pos="9072"/>
      </w:tabs>
      <w:spacing w:after="0" w:line="240" w:lineRule="auto"/>
    </w:pPr>
  </w:style>
  <w:style w:type="character" w:customStyle="1" w:styleId="HeaderChar">
    <w:name w:val="Header Char"/>
    <w:basedOn w:val="DefaultParagraphFont"/>
    <w:link w:val="Header"/>
    <w:uiPriority w:val="99"/>
    <w:rsid w:val="006431FF"/>
  </w:style>
  <w:style w:type="paragraph" w:styleId="Footer">
    <w:name w:val="footer"/>
    <w:basedOn w:val="Normal"/>
    <w:link w:val="FooterChar"/>
    <w:uiPriority w:val="99"/>
    <w:unhideWhenUsed/>
    <w:rsid w:val="006431FF"/>
    <w:pPr>
      <w:tabs>
        <w:tab w:val="center" w:pos="4536"/>
        <w:tab w:val="right" w:pos="9072"/>
      </w:tabs>
      <w:spacing w:after="0" w:line="240" w:lineRule="auto"/>
    </w:pPr>
  </w:style>
  <w:style w:type="character" w:customStyle="1" w:styleId="FooterChar">
    <w:name w:val="Footer Char"/>
    <w:basedOn w:val="DefaultParagraphFont"/>
    <w:link w:val="Footer"/>
    <w:uiPriority w:val="99"/>
    <w:rsid w:val="006431F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417A"/>
    <w:pPr>
      <w:ind w:left="720"/>
      <w:contextualSpacing/>
    </w:pPr>
  </w:style>
  <w:style w:type="paragraph" w:styleId="Header">
    <w:name w:val="header"/>
    <w:basedOn w:val="Normal"/>
    <w:link w:val="HeaderChar"/>
    <w:uiPriority w:val="99"/>
    <w:unhideWhenUsed/>
    <w:rsid w:val="006431FF"/>
    <w:pPr>
      <w:tabs>
        <w:tab w:val="center" w:pos="4536"/>
        <w:tab w:val="right" w:pos="9072"/>
      </w:tabs>
      <w:spacing w:after="0" w:line="240" w:lineRule="auto"/>
    </w:pPr>
  </w:style>
  <w:style w:type="character" w:customStyle="1" w:styleId="HeaderChar">
    <w:name w:val="Header Char"/>
    <w:basedOn w:val="DefaultParagraphFont"/>
    <w:link w:val="Header"/>
    <w:uiPriority w:val="99"/>
    <w:rsid w:val="006431FF"/>
  </w:style>
  <w:style w:type="paragraph" w:styleId="Footer">
    <w:name w:val="footer"/>
    <w:basedOn w:val="Normal"/>
    <w:link w:val="FooterChar"/>
    <w:uiPriority w:val="99"/>
    <w:unhideWhenUsed/>
    <w:rsid w:val="006431FF"/>
    <w:pPr>
      <w:tabs>
        <w:tab w:val="center" w:pos="4536"/>
        <w:tab w:val="right" w:pos="9072"/>
      </w:tabs>
      <w:spacing w:after="0" w:line="240" w:lineRule="auto"/>
    </w:pPr>
  </w:style>
  <w:style w:type="character" w:customStyle="1" w:styleId="FooterChar">
    <w:name w:val="Footer Char"/>
    <w:basedOn w:val="DefaultParagraphFont"/>
    <w:link w:val="Footer"/>
    <w:uiPriority w:val="99"/>
    <w:rsid w:val="006431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3749134">
      <w:bodyDiv w:val="1"/>
      <w:marLeft w:val="0"/>
      <w:marRight w:val="0"/>
      <w:marTop w:val="0"/>
      <w:marBottom w:val="0"/>
      <w:divBdr>
        <w:top w:val="none" w:sz="0" w:space="0" w:color="auto"/>
        <w:left w:val="none" w:sz="0" w:space="0" w:color="auto"/>
        <w:bottom w:val="none" w:sz="0" w:space="0" w:color="auto"/>
        <w:right w:val="none" w:sz="0" w:space="0" w:color="auto"/>
      </w:divBdr>
    </w:div>
    <w:div w:id="1615207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1002</Words>
  <Characters>5714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Veneta Ganeva</dc:creator>
  <cp:lastModifiedBy>Miriana Hristova</cp:lastModifiedBy>
  <cp:revision>4</cp:revision>
  <dcterms:created xsi:type="dcterms:W3CDTF">2014-02-27T06:17:00Z</dcterms:created>
  <dcterms:modified xsi:type="dcterms:W3CDTF">2014-03-07T06:41:00Z</dcterms:modified>
</cp:coreProperties>
</file>